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0133C" w14:textId="7A30C586" w:rsidR="007C08BC" w:rsidRPr="007C08BC" w:rsidRDefault="007C08BC" w:rsidP="007C08BC">
      <w:pPr>
        <w:jc w:val="center"/>
        <w:rPr>
          <w:b/>
          <w:sz w:val="32"/>
          <w:szCs w:val="32"/>
          <w:lang w:val="id-ID"/>
        </w:rPr>
      </w:pPr>
      <w:r w:rsidRPr="007C08BC">
        <w:rPr>
          <w:b/>
          <w:sz w:val="32"/>
          <w:szCs w:val="32"/>
          <w:lang w:val="id-ID"/>
        </w:rPr>
        <w:t xml:space="preserve">ESG and Performance: </w:t>
      </w:r>
    </w:p>
    <w:p w14:paraId="4EB38C3A" w14:textId="5EE54D16" w:rsidR="008B197E" w:rsidRPr="009731C3" w:rsidRDefault="007C08BC" w:rsidP="007C08BC">
      <w:pPr>
        <w:jc w:val="center"/>
        <w:rPr>
          <w:b/>
          <w:sz w:val="32"/>
          <w:szCs w:val="32"/>
          <w:lang w:val="id-ID"/>
        </w:rPr>
      </w:pPr>
      <w:r>
        <w:rPr>
          <w:b/>
          <w:sz w:val="32"/>
          <w:szCs w:val="32"/>
        </w:rPr>
        <w:t xml:space="preserve">Effect </w:t>
      </w:r>
      <w:r w:rsidRPr="007C08BC">
        <w:rPr>
          <w:b/>
          <w:sz w:val="32"/>
          <w:szCs w:val="32"/>
          <w:lang w:val="id-ID"/>
        </w:rPr>
        <w:t>of government ownership and green bond issuer</w:t>
      </w:r>
    </w:p>
    <w:p w14:paraId="59177093" w14:textId="77777777" w:rsidR="009731C3" w:rsidRPr="009731C3" w:rsidRDefault="009731C3" w:rsidP="009731C3">
      <w:pPr>
        <w:jc w:val="center"/>
        <w:rPr>
          <w:b/>
          <w:sz w:val="32"/>
          <w:szCs w:val="32"/>
        </w:rPr>
      </w:pPr>
    </w:p>
    <w:p w14:paraId="734699A1" w14:textId="77777777" w:rsidR="009731C3" w:rsidRDefault="009731C3"/>
    <w:p w14:paraId="7680BAB5" w14:textId="77777777" w:rsidR="009731C3" w:rsidRDefault="009731C3">
      <w:pPr>
        <w:sectPr w:rsidR="009731C3" w:rsidSect="003B4153">
          <w:footerReference w:type="even" r:id="rId7"/>
          <w:pgSz w:w="12240" w:h="15840" w:code="1"/>
          <w:pgMar w:top="1080" w:right="1080" w:bottom="1440" w:left="1080" w:header="720" w:footer="720" w:gutter="0"/>
          <w:cols w:space="720"/>
        </w:sectPr>
      </w:pPr>
    </w:p>
    <w:p w14:paraId="441533DF" w14:textId="77777777" w:rsidR="007C08BC" w:rsidRPr="007C08BC" w:rsidRDefault="007C08BC" w:rsidP="007C08BC">
      <w:pPr>
        <w:pStyle w:val="Affiliations"/>
        <w:rPr>
          <w:spacing w:val="-2"/>
          <w:sz w:val="24"/>
          <w:szCs w:val="24"/>
        </w:rPr>
      </w:pPr>
      <w:proofErr w:type="spellStart"/>
      <w:r w:rsidRPr="007C08BC">
        <w:rPr>
          <w:spacing w:val="-2"/>
          <w:sz w:val="24"/>
          <w:szCs w:val="24"/>
        </w:rPr>
        <w:t>Etikah</w:t>
      </w:r>
      <w:proofErr w:type="spellEnd"/>
      <w:r w:rsidRPr="007C08BC">
        <w:rPr>
          <w:spacing w:val="-2"/>
          <w:sz w:val="24"/>
          <w:szCs w:val="24"/>
        </w:rPr>
        <w:t xml:space="preserve"> Karyani</w:t>
      </w:r>
    </w:p>
    <w:p w14:paraId="7C73CA46" w14:textId="77777777" w:rsidR="007C08BC" w:rsidRPr="007C08BC" w:rsidRDefault="007C08BC" w:rsidP="007C08BC">
      <w:pPr>
        <w:pStyle w:val="Affiliations"/>
        <w:rPr>
          <w:spacing w:val="-2"/>
        </w:rPr>
      </w:pPr>
      <w:r w:rsidRPr="007C08BC">
        <w:rPr>
          <w:spacing w:val="-2"/>
        </w:rPr>
        <w:t>Indonesia Banking School</w:t>
      </w:r>
    </w:p>
    <w:p w14:paraId="0123DE96" w14:textId="77777777" w:rsidR="007C08BC" w:rsidRPr="007C08BC" w:rsidRDefault="007C08BC" w:rsidP="007C08BC">
      <w:pPr>
        <w:pStyle w:val="Affiliations"/>
        <w:rPr>
          <w:spacing w:val="-2"/>
        </w:rPr>
      </w:pPr>
      <w:proofErr w:type="spellStart"/>
      <w:r w:rsidRPr="007C08BC">
        <w:rPr>
          <w:spacing w:val="-2"/>
        </w:rPr>
        <w:t>Kemang</w:t>
      </w:r>
      <w:proofErr w:type="spellEnd"/>
      <w:r w:rsidRPr="007C08BC">
        <w:rPr>
          <w:spacing w:val="-2"/>
        </w:rPr>
        <w:t xml:space="preserve"> Raya no 35. </w:t>
      </w:r>
      <w:proofErr w:type="spellStart"/>
      <w:r w:rsidRPr="007C08BC">
        <w:rPr>
          <w:spacing w:val="-2"/>
        </w:rPr>
        <w:t>Kebayoran</w:t>
      </w:r>
      <w:proofErr w:type="spellEnd"/>
      <w:r w:rsidRPr="007C08BC">
        <w:rPr>
          <w:spacing w:val="-2"/>
        </w:rPr>
        <w:t xml:space="preserve"> </w:t>
      </w:r>
      <w:proofErr w:type="spellStart"/>
      <w:r w:rsidRPr="007C08BC">
        <w:rPr>
          <w:spacing w:val="-2"/>
        </w:rPr>
        <w:t>Baru</w:t>
      </w:r>
      <w:proofErr w:type="spellEnd"/>
    </w:p>
    <w:p w14:paraId="581EDD68" w14:textId="77777777" w:rsidR="007C08BC" w:rsidRPr="007C08BC" w:rsidRDefault="007C08BC" w:rsidP="007C08BC">
      <w:pPr>
        <w:pStyle w:val="Affiliations"/>
        <w:rPr>
          <w:spacing w:val="-2"/>
        </w:rPr>
      </w:pPr>
      <w:r w:rsidRPr="007C08BC">
        <w:rPr>
          <w:spacing w:val="-2"/>
        </w:rPr>
        <w:t>Jakarta Selatan</w:t>
      </w:r>
    </w:p>
    <w:p w14:paraId="3320D279" w14:textId="77777777" w:rsidR="007C08BC" w:rsidRPr="007C08BC" w:rsidRDefault="007C08BC" w:rsidP="007C08BC">
      <w:pPr>
        <w:pStyle w:val="Affiliations"/>
        <w:rPr>
          <w:spacing w:val="-2"/>
        </w:rPr>
      </w:pPr>
      <w:r w:rsidRPr="007C08BC">
        <w:rPr>
          <w:spacing w:val="-2"/>
        </w:rPr>
        <w:t>(62) 82112178677</w:t>
      </w:r>
    </w:p>
    <w:p w14:paraId="7B0EC14B" w14:textId="1D10A632" w:rsidR="008B197E" w:rsidRPr="007C08BC" w:rsidRDefault="007C08BC" w:rsidP="007C08BC">
      <w:pPr>
        <w:pStyle w:val="Affiliations"/>
        <w:rPr>
          <w:spacing w:val="-2"/>
          <w:sz w:val="24"/>
          <w:szCs w:val="24"/>
        </w:rPr>
      </w:pPr>
      <w:r w:rsidRPr="007C08BC">
        <w:rPr>
          <w:spacing w:val="-2"/>
          <w:sz w:val="24"/>
          <w:szCs w:val="24"/>
        </w:rPr>
        <w:t>etika.karyani@ibs.ac.id</w:t>
      </w:r>
    </w:p>
    <w:p w14:paraId="10D81DF0" w14:textId="76B66D6B" w:rsidR="008B197E" w:rsidRDefault="008B197E" w:rsidP="007C08BC">
      <w:pPr>
        <w:pStyle w:val="Author"/>
        <w:spacing w:after="0"/>
        <w:rPr>
          <w:spacing w:val="-2"/>
        </w:rPr>
      </w:pPr>
      <w:r w:rsidRPr="007C08BC">
        <w:rPr>
          <w:spacing w:val="-2"/>
          <w:szCs w:val="24"/>
        </w:rPr>
        <w:br w:type="column"/>
      </w:r>
    </w:p>
    <w:p w14:paraId="6DC73206" w14:textId="0695E6BC" w:rsidR="007C08BC" w:rsidRPr="007C08BC" w:rsidRDefault="008B197E" w:rsidP="007C08BC">
      <w:pPr>
        <w:pStyle w:val="Author"/>
        <w:spacing w:after="0"/>
        <w:rPr>
          <w:spacing w:val="-2"/>
        </w:rPr>
      </w:pPr>
      <w:r>
        <w:rPr>
          <w:spacing w:val="-2"/>
        </w:rPr>
        <w:br w:type="column"/>
      </w:r>
      <w:r w:rsidR="007C08BC" w:rsidRPr="007C08BC">
        <w:rPr>
          <w:spacing w:val="-2"/>
        </w:rPr>
        <w:t xml:space="preserve">Vina </w:t>
      </w:r>
      <w:proofErr w:type="spellStart"/>
      <w:r w:rsidR="007C08BC" w:rsidRPr="007C08BC">
        <w:rPr>
          <w:spacing w:val="-2"/>
        </w:rPr>
        <w:t>Maulina</w:t>
      </w:r>
      <w:proofErr w:type="spellEnd"/>
    </w:p>
    <w:p w14:paraId="0DD7006D" w14:textId="77777777" w:rsidR="007C08BC" w:rsidRPr="007C08BC" w:rsidRDefault="007C08BC" w:rsidP="007C08BC">
      <w:pPr>
        <w:pStyle w:val="Affiliations"/>
        <w:rPr>
          <w:spacing w:val="-2"/>
        </w:rPr>
      </w:pPr>
      <w:r w:rsidRPr="007C08BC">
        <w:rPr>
          <w:spacing w:val="-2"/>
        </w:rPr>
        <w:t>Indonesia Banking School</w:t>
      </w:r>
    </w:p>
    <w:p w14:paraId="0C380CF9" w14:textId="77777777" w:rsidR="007C08BC" w:rsidRPr="007C08BC" w:rsidRDefault="007C08BC" w:rsidP="007C08BC">
      <w:pPr>
        <w:pStyle w:val="Affiliations"/>
        <w:rPr>
          <w:spacing w:val="-2"/>
        </w:rPr>
      </w:pPr>
      <w:proofErr w:type="spellStart"/>
      <w:r w:rsidRPr="007C08BC">
        <w:rPr>
          <w:spacing w:val="-2"/>
        </w:rPr>
        <w:t>Kemang</w:t>
      </w:r>
      <w:proofErr w:type="spellEnd"/>
      <w:r w:rsidRPr="007C08BC">
        <w:rPr>
          <w:spacing w:val="-2"/>
        </w:rPr>
        <w:t xml:space="preserve"> Raya no 35. </w:t>
      </w:r>
      <w:proofErr w:type="spellStart"/>
      <w:r w:rsidRPr="007C08BC">
        <w:rPr>
          <w:spacing w:val="-2"/>
        </w:rPr>
        <w:t>Kebayoran</w:t>
      </w:r>
      <w:proofErr w:type="spellEnd"/>
      <w:r w:rsidRPr="007C08BC">
        <w:rPr>
          <w:spacing w:val="-2"/>
        </w:rPr>
        <w:t xml:space="preserve"> </w:t>
      </w:r>
      <w:proofErr w:type="spellStart"/>
      <w:r w:rsidRPr="007C08BC">
        <w:rPr>
          <w:spacing w:val="-2"/>
        </w:rPr>
        <w:t>Baru</w:t>
      </w:r>
      <w:proofErr w:type="spellEnd"/>
    </w:p>
    <w:p w14:paraId="5D5668D9" w14:textId="77777777" w:rsidR="007C08BC" w:rsidRPr="007C08BC" w:rsidRDefault="007C08BC" w:rsidP="007C08BC">
      <w:pPr>
        <w:pStyle w:val="Affiliations"/>
        <w:rPr>
          <w:spacing w:val="-2"/>
        </w:rPr>
      </w:pPr>
      <w:r w:rsidRPr="007C08BC">
        <w:rPr>
          <w:spacing w:val="-2"/>
        </w:rPr>
        <w:t>Jakarta Selatan</w:t>
      </w:r>
    </w:p>
    <w:p w14:paraId="5701361B" w14:textId="5129B9B6" w:rsidR="007C08BC" w:rsidRPr="007C08BC" w:rsidRDefault="007C08BC" w:rsidP="007C08BC">
      <w:pPr>
        <w:pStyle w:val="Affiliations"/>
        <w:rPr>
          <w:spacing w:val="-2"/>
        </w:rPr>
      </w:pPr>
      <w:r w:rsidRPr="007C08BC">
        <w:rPr>
          <w:spacing w:val="-2"/>
        </w:rPr>
        <w:t>(62) 8</w:t>
      </w:r>
      <w:r>
        <w:rPr>
          <w:spacing w:val="-2"/>
        </w:rPr>
        <w:t>5378713158</w:t>
      </w:r>
    </w:p>
    <w:p w14:paraId="7F2AF1A1" w14:textId="373421C5" w:rsidR="008B197E" w:rsidRPr="007C08BC" w:rsidRDefault="007C08BC" w:rsidP="007C08BC">
      <w:pPr>
        <w:pStyle w:val="Affiliations"/>
        <w:rPr>
          <w:spacing w:val="-2"/>
          <w:sz w:val="24"/>
          <w:szCs w:val="24"/>
        </w:rPr>
      </w:pPr>
      <w:r w:rsidRPr="007C08BC">
        <w:rPr>
          <w:spacing w:val="-2"/>
          <w:sz w:val="24"/>
          <w:szCs w:val="24"/>
        </w:rPr>
        <w:t>etika.karyani@ibs.ac.id</w:t>
      </w:r>
    </w:p>
    <w:p w14:paraId="2D84BA94" w14:textId="77777777" w:rsidR="008B197E" w:rsidRDefault="008B197E">
      <w:pPr>
        <w:pStyle w:val="E-Mail"/>
        <w:rPr>
          <w:spacing w:val="-2"/>
        </w:rPr>
      </w:pPr>
    </w:p>
    <w:p w14:paraId="57F69ACD" w14:textId="77777777" w:rsidR="008B197E" w:rsidRDefault="008B197E">
      <w:pPr>
        <w:pStyle w:val="E-Mail"/>
      </w:pPr>
    </w:p>
    <w:p w14:paraId="2A9D9EEA" w14:textId="77777777" w:rsidR="008B197E" w:rsidRDefault="008B197E">
      <w:pPr>
        <w:jc w:val="center"/>
        <w:sectPr w:rsidR="008B197E" w:rsidSect="003B4153">
          <w:type w:val="continuous"/>
          <w:pgSz w:w="12240" w:h="15840" w:code="1"/>
          <w:pgMar w:top="1080" w:right="1080" w:bottom="1440" w:left="1080" w:header="720" w:footer="720" w:gutter="0"/>
          <w:cols w:num="3" w:space="0"/>
        </w:sectPr>
      </w:pPr>
    </w:p>
    <w:p w14:paraId="7BE634D2" w14:textId="77777777" w:rsidR="008B197E" w:rsidRDefault="008B197E">
      <w:pPr>
        <w:spacing w:after="0"/>
      </w:pPr>
      <w:r>
        <w:rPr>
          <w:b/>
          <w:sz w:val="24"/>
        </w:rPr>
        <w:t>ABSTRACT</w:t>
      </w:r>
    </w:p>
    <w:p w14:paraId="498556DF" w14:textId="21850918" w:rsidR="008B197E" w:rsidRDefault="00441553">
      <w:pPr>
        <w:pStyle w:val="Abstract"/>
      </w:pPr>
      <w:r w:rsidRPr="00441553">
        <w:t xml:space="preserve">The environmental, social and governance (ESG) dimensions can contribute to an organization's economic performance. Using stakeholder theory as a framework, this study aims to find the impacts of environmental, social and governance (ESG) investments on organizational (financial and economic) performance. This study is the first empirical analysis that include government ownership and green bond issues factors as variables that are interacted with ESG investments. Government ownership is perceived as having commitment and the issuance of green bonds can be seen as a proxy for companies to make environmental-friendly investments and change their ESG profile. Annual ESG index data of ASEAN-5 </w:t>
      </w:r>
      <w:proofErr w:type="spellStart"/>
      <w:r w:rsidRPr="00441553">
        <w:t>organisations</w:t>
      </w:r>
      <w:proofErr w:type="spellEnd"/>
      <w:r w:rsidRPr="00441553">
        <w:t xml:space="preserve"> are used which covers the period 2017 to 2019 and are tested using Ordinary Least Square (OLS). In accordance with the results of previous research, this study finds that ESG investment consistently improves both financial (profitability) and economic (stock) performance of the company. However, studies cannot prove the effect of the level of government ownership and bond issuance on ESG investment associations with profitability, on the contrary, the stock returns decline when ESG investments from organizations that have greater government ownership. This research contributes to the literature by focusing on unstructured ESG investment in ASEAN. The implication of this finding is investors and stakeholders may assess how much the company's behavior towards the environment to make their decisions.</w:t>
      </w:r>
      <w:r w:rsidR="008B197E">
        <w:t xml:space="preserve"> </w:t>
      </w:r>
    </w:p>
    <w:p w14:paraId="7C0C6AE3" w14:textId="77777777" w:rsidR="008B197E" w:rsidRDefault="008B197E">
      <w:pPr>
        <w:spacing w:before="120" w:after="0"/>
      </w:pPr>
      <w:r>
        <w:rPr>
          <w:b/>
          <w:sz w:val="24"/>
        </w:rPr>
        <w:t>Keywords</w:t>
      </w:r>
    </w:p>
    <w:p w14:paraId="036D83AD" w14:textId="628D0698" w:rsidR="008B197E" w:rsidRDefault="00441553">
      <w:pPr>
        <w:spacing w:after="120"/>
      </w:pPr>
      <w:r w:rsidRPr="00441553">
        <w:t>ESG index, government ownership, green bond issuer; profitability, stock returns.</w:t>
      </w:r>
    </w:p>
    <w:p w14:paraId="1B61250B" w14:textId="77777777" w:rsidR="008B197E" w:rsidRDefault="008B197E">
      <w:pPr>
        <w:pStyle w:val="Heading1"/>
        <w:spacing w:before="120"/>
      </w:pPr>
      <w:r>
        <w:t>INTRODUCTION</w:t>
      </w:r>
    </w:p>
    <w:p w14:paraId="5922500E" w14:textId="3497F470" w:rsidR="00441553" w:rsidRDefault="00441553" w:rsidP="00441553">
      <w:pPr>
        <w:pStyle w:val="BodyTextIndent"/>
        <w:spacing w:after="120"/>
      </w:pPr>
      <w:r>
        <w:t xml:space="preserve">Pressure on companies to pay attention to environmental, social, and governance (ESG) issues continues to increase. Academics and practitioners emphasize the importance of ESG as one of the main issues related to the opportunities, challenges, and effects of ESG for </w:t>
      </w:r>
      <w:proofErr w:type="spellStart"/>
      <w:r>
        <w:t>organisations</w:t>
      </w:r>
      <w:proofErr w:type="spellEnd"/>
      <w:r>
        <w:t xml:space="preserve"> (see [1], [2], [3]). ESG reporting has also continued to increase in Asian countries by 15% since 2009 [3]. Thus, most executives and investment professionals believe that the ESG program increases firm performance. Therefore, this study aims to investigate the extent of the benefits of ESG on company performance.</w:t>
      </w:r>
    </w:p>
    <w:p w14:paraId="14660420" w14:textId="77777777" w:rsidR="00441553" w:rsidRDefault="00441553" w:rsidP="00441553">
      <w:pPr>
        <w:pStyle w:val="BodyTextIndent"/>
        <w:spacing w:after="120"/>
      </w:pPr>
      <w:r>
        <w:t xml:space="preserve">According to the results of the Global McKinsey survey (2019) which assesses the ESG program, 83% of practitioners expect that the ESG program will contribute more to shareholders </w:t>
      </w:r>
      <w:r>
        <w:t>in the long run. They are also willing to pay around 10 percent of the average premium to acquire companies that have a positive record regarding ESG issues. The survey results also show that the ESG program increases shareholder value both in the short and long term. Long-term impacts are felt to exceed the value associated with the governance program. Executives and investment professionals also usually consider using ESG as one of the strategic and operational decision-making tools, including evaluating competitors, supply chains and potential capital projects. In addition, practitioners also consider the impact of ESG practices on various stakeholders.</w:t>
      </w:r>
    </w:p>
    <w:p w14:paraId="28B90DB4" w14:textId="77777777" w:rsidR="00441553" w:rsidRDefault="00441553" w:rsidP="00441553">
      <w:pPr>
        <w:pStyle w:val="BodyTextIndent"/>
        <w:spacing w:after="120"/>
      </w:pPr>
      <w:r>
        <w:t>Today, most executives and investment professionals recognize that ESG practices can affect a company's financial performance because they are monitored and expected by investors, consumers, employees, analysts, and other stakeholders to continue to grow [3]. The growing demands for ESG practices are pushing for more demands on transparency, ESG standardization of data, integrated with financial data, and comparability.</w:t>
      </w:r>
    </w:p>
    <w:p w14:paraId="5E4F7034" w14:textId="77777777" w:rsidR="00441553" w:rsidRDefault="00441553" w:rsidP="00441553">
      <w:pPr>
        <w:pStyle w:val="BodyTextIndent"/>
        <w:spacing w:after="120"/>
      </w:pPr>
      <w:r>
        <w:t>Thus, the shareholder-oriented traditional view [4] which focuses primarily on maximizing financial returns for shareholders has changed. Companies are also beginning to realize that their future can hardly be achieved without regard to sustainability strategies and without disclosing ESG information. In addition, the authors [5,6] prove that companies effectively manage ESG are able to provide higher values for business and society. Porter and Kramer [7] describe the value of the company as the value of operational policies and practices where the company creates economic value through social benefits through the value of economic financing (for example: cost reduction) by reducing negative externalities (for example: reducing waste).</w:t>
      </w:r>
    </w:p>
    <w:p w14:paraId="2890757A" w14:textId="77777777" w:rsidR="00441553" w:rsidRDefault="00441553" w:rsidP="00441553">
      <w:pPr>
        <w:pStyle w:val="BodyTextIndent"/>
        <w:spacing w:after="120"/>
      </w:pPr>
      <w:r>
        <w:t xml:space="preserve">Growing public awareness and company recognition has led to an increase in the number of companies that use sustainability strategies and disclose ESG information globally [8]. Based on the Global Reporting Initiative [9] and </w:t>
      </w:r>
      <w:proofErr w:type="spellStart"/>
      <w:r>
        <w:t>Klynveld</w:t>
      </w:r>
      <w:proofErr w:type="spellEnd"/>
      <w:r>
        <w:t xml:space="preserve"> Peat Marwick </w:t>
      </w:r>
      <w:proofErr w:type="spellStart"/>
      <w:r>
        <w:t>Goerdeler</w:t>
      </w:r>
      <w:proofErr w:type="spellEnd"/>
      <w:r>
        <w:t xml:space="preserve"> (KPMG) reports [11], the majority of ESG disclosures are made by companies in the Asia Pacific region (Asia and Oceania) which is around 78% of the worldwide reporting rate, of the world reporting rate, compared to with only 52% for the Middle East and Africa. ESG integration becomes attractive for investors and even incorporates the ESG factor in their investment analysis. Thus, increasing investor interest shows there is a positive effect of ESG practices on increasing returns [12].</w:t>
      </w:r>
    </w:p>
    <w:p w14:paraId="48F78317" w14:textId="77777777" w:rsidR="00441553" w:rsidRDefault="00441553" w:rsidP="00441553">
      <w:pPr>
        <w:pStyle w:val="BodyTextIndent"/>
        <w:spacing w:after="120"/>
      </w:pPr>
      <w:r>
        <w:lastRenderedPageBreak/>
        <w:t>Studies that explain the association between the sustainability assessment and company performance also continue to grow rapidly, but studies investigating the effects of ESG practices and company sustainability are still very limited ([13]; [1]). Studies related to this are also mostly carried out with a sample of companies in Western and developed countries (see [14-16]), while very limited in the background of developing countries [13].</w:t>
      </w:r>
    </w:p>
    <w:p w14:paraId="5A6CE4EB" w14:textId="77777777" w:rsidR="00441553" w:rsidRDefault="00441553" w:rsidP="00441553">
      <w:pPr>
        <w:pStyle w:val="BodyTextIndent"/>
        <w:spacing w:after="120"/>
      </w:pPr>
      <w:r>
        <w:t>Furthermore, this study is expected to fill the research gap by contributing to investigate the benefits of ESG disclosure in two ways. First, the study focuses on the coverage of the Association of Southeast Asian Nations (ASEAN) countries. Previous studies ([13]; [14]; [15]; [16]) focused on one country. While international studies are carried out in Europe (for example, [17]) and Asia ([18]; [1]). Studies with an ASEAN background are very promising because ESG investment by ASEAN companies is carried out implicitly and not systematically [19]. Second, to our knowledge, this study is the first to investigate global problems by linking the effects of government ownership and green bond issuers using the ESG index by disclosure score provided by Morgan Stanley. This is important because it needs to be tested whether investors can see that ESG is really embedded in the whole organization rather than solely for financial reasons or as a specific project, or ownership level and green bond issuers factors.</w:t>
      </w:r>
    </w:p>
    <w:p w14:paraId="78D6DC60" w14:textId="1E96E3DD" w:rsidR="008B197E" w:rsidRDefault="00441553" w:rsidP="00441553">
      <w:pPr>
        <w:pStyle w:val="BodyTextIndent"/>
        <w:spacing w:after="120"/>
        <w:ind w:firstLine="0"/>
      </w:pPr>
      <w:r>
        <w:t>This paper is then organized as follows. Section 2 discusses ESG in the ASEAN context, the theoretical foundation, and the development of this research hypothesis. Section 3 explains the models, data, and variables used. Section 4 presents descriptive results and empirical findings. Section 5 concludes with a summary and future research.</w:t>
      </w:r>
    </w:p>
    <w:p w14:paraId="65D156B8" w14:textId="05FCD971" w:rsidR="008B197E" w:rsidRDefault="00441553" w:rsidP="004C1E7A">
      <w:pPr>
        <w:pStyle w:val="Heading1"/>
        <w:spacing w:before="120"/>
        <w:ind w:left="360" w:hanging="360"/>
      </w:pPr>
      <w:r w:rsidRPr="00441553">
        <w:t>ESG IN THE CONTEXT OF ASEAN, LITERATURE REVIEW, AND HYPOTHESIS DEVELOPMENT</w:t>
      </w:r>
    </w:p>
    <w:p w14:paraId="60E2D1A5" w14:textId="4E779653" w:rsidR="00441553" w:rsidRPr="00441553" w:rsidRDefault="00441553" w:rsidP="00441553">
      <w:pPr>
        <w:pStyle w:val="BodyTextIndent"/>
        <w:spacing w:after="120"/>
        <w:ind w:firstLine="0"/>
        <w:rPr>
          <w:b/>
          <w:bCs/>
          <w:sz w:val="24"/>
          <w:szCs w:val="24"/>
        </w:rPr>
      </w:pPr>
      <w:r w:rsidRPr="00441553">
        <w:rPr>
          <w:b/>
          <w:bCs/>
          <w:sz w:val="24"/>
          <w:szCs w:val="24"/>
        </w:rPr>
        <w:t xml:space="preserve">2.1 ESG in the ASEAN </w:t>
      </w:r>
      <w:r>
        <w:rPr>
          <w:b/>
          <w:bCs/>
          <w:sz w:val="24"/>
          <w:szCs w:val="24"/>
        </w:rPr>
        <w:t>C</w:t>
      </w:r>
      <w:r w:rsidRPr="00441553">
        <w:rPr>
          <w:b/>
          <w:bCs/>
          <w:sz w:val="24"/>
          <w:szCs w:val="24"/>
        </w:rPr>
        <w:t>ontext</w:t>
      </w:r>
    </w:p>
    <w:p w14:paraId="7891984E" w14:textId="77777777" w:rsidR="00441553" w:rsidRDefault="00441553" w:rsidP="00441553">
      <w:pPr>
        <w:pStyle w:val="BodyTextIndent"/>
        <w:spacing w:after="120"/>
      </w:pPr>
      <w:r>
        <w:t>Environmental, Social, and Governance (ESG) refers to three main factors in measuring the sustainability and social impact of investments in organizations [20]. The threat related to climate change and the depletion of resources continues to increase so that this becomes a demand from investors to capture the environmental criteria as a sustainability issue in their investment choices. Social criteria concern how the company manages relationships with employees, suppliers, customers, and the communities in which it operates. While governance is related to corporate leadership, executive salaries, audits, internal controls, and shareholder rights.</w:t>
      </w:r>
    </w:p>
    <w:p w14:paraId="2BBC3393" w14:textId="77777777" w:rsidR="00441553" w:rsidRDefault="00441553" w:rsidP="00441553">
      <w:pPr>
        <w:pStyle w:val="BodyTextIndent"/>
      </w:pPr>
      <w:r>
        <w:t>Figure 1. Quality of ESG Disclosures in ASEAN</w:t>
      </w:r>
    </w:p>
    <w:p w14:paraId="6E135F2C" w14:textId="5AA58B3C" w:rsidR="00441553" w:rsidRDefault="00441553" w:rsidP="00441553">
      <w:pPr>
        <w:pStyle w:val="BodyTextIndent"/>
        <w:spacing w:after="120"/>
      </w:pPr>
      <w:r>
        <w:t xml:space="preserve"> </w:t>
      </w:r>
      <w:r>
        <w:rPr>
          <w:noProof/>
        </w:rPr>
        <w:drawing>
          <wp:inline distT="0" distB="0" distL="0" distR="0" wp14:anchorId="1BDB5A63" wp14:editId="0D8A3CEE">
            <wp:extent cx="3049270" cy="133921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3049270" cy="1339215"/>
                    </a:xfrm>
                    <a:prstGeom prst="rect">
                      <a:avLst/>
                    </a:prstGeom>
                  </pic:spPr>
                </pic:pic>
              </a:graphicData>
            </a:graphic>
          </wp:inline>
        </w:drawing>
      </w:r>
    </w:p>
    <w:p w14:paraId="783713D7" w14:textId="77777777" w:rsidR="00441553" w:rsidRDefault="00441553" w:rsidP="00441553">
      <w:pPr>
        <w:pStyle w:val="BodyTextIndent"/>
        <w:spacing w:after="120"/>
      </w:pPr>
      <w:r>
        <w:t>Source: [19] adapted from the ASEAN CSR Network and NUS Business School (2016)</w:t>
      </w:r>
    </w:p>
    <w:p w14:paraId="74011EDB" w14:textId="77777777" w:rsidR="00441553" w:rsidRDefault="00441553" w:rsidP="00441553">
      <w:pPr>
        <w:pStyle w:val="BodyTextIndent"/>
        <w:spacing w:after="120"/>
      </w:pPr>
      <w:r>
        <w:t>According to [19], the trend of ESG activity or investment in ASEAN-5 countries (Indonesia, Malaysia, Thailand, Singapore, and Vietnam) shows an increasing trend, although efforts are still underway for other member countries. The regulator in this country seems to be one of the drivers of this change by initiating related regulations. The National Center for Sustainability Reporting, for example, is formed by Indonesia, Business Sustainability Program by Malaysia, National Renewable Energy Program 2011-2013 by Philippines, Sustainable Singapore Blueprint by Singapore, Feed-in premium program by Thailand, and Climate Investment Funds' Clean Technology Fund by Vietnam. In addition, the five countries (other than the Philippines) require listed companies to report ESG in their reports. Figure 1 below explains the level of ESG disclosure based on criteria and overall ESG.</w:t>
      </w:r>
    </w:p>
    <w:p w14:paraId="6A09AC38" w14:textId="77777777" w:rsidR="00441553" w:rsidRDefault="00441553" w:rsidP="00441553">
      <w:pPr>
        <w:pStyle w:val="BodyTextIndent"/>
        <w:spacing w:after="120"/>
      </w:pPr>
      <w:r>
        <w:t>Other member countries, such as Brunei, there has not been an independent non-governmental organization that promotes ESG related to its practice and supervision until now. While Lao-PDR as the most active country in promoting responsibilities related to the agricultural industry, there is no obligation for issuers to do transparency sustainability. Likewise, Myanmar is only limited by voluntary reporting. The Philippines is a country that requires sustainability reports for listed companies, but there are no obligations regarding the "E" and "S" elements in ESG.</w:t>
      </w:r>
    </w:p>
    <w:p w14:paraId="1020D982" w14:textId="77777777" w:rsidR="00441553" w:rsidRDefault="00441553" w:rsidP="00441553">
      <w:pPr>
        <w:pStyle w:val="BodyTextIndent"/>
        <w:spacing w:after="120"/>
      </w:pPr>
      <w:r>
        <w:t>It can be concluded that ESG investment in ASEAN is carried out implicitly and not systematically which implies the growth potential of ESG investment. The challenge faced by companies in this region is the difficulty of fully integrating ESG practices in their core business strategies. It can be caused by several factors, including a) wrong perceptions of ESG investments, b) limited ability to fully integrate ESG investments, c) inadequate guidelines and support from the stock market and the government, and there is still a relationship weak between ESG investments, and d) achievement of Sustainable Development Goals (SDGs).</w:t>
      </w:r>
    </w:p>
    <w:p w14:paraId="5744F8B0" w14:textId="2A00DA6E" w:rsidR="00441553" w:rsidRPr="00441553" w:rsidRDefault="00441553" w:rsidP="004C1E7A">
      <w:pPr>
        <w:pStyle w:val="BodyTextIndent"/>
        <w:spacing w:after="120"/>
        <w:ind w:left="540" w:hanging="540"/>
        <w:jc w:val="left"/>
        <w:rPr>
          <w:b/>
          <w:bCs/>
          <w:sz w:val="24"/>
          <w:szCs w:val="24"/>
        </w:rPr>
      </w:pPr>
      <w:r>
        <w:rPr>
          <w:b/>
          <w:bCs/>
          <w:sz w:val="24"/>
          <w:szCs w:val="24"/>
        </w:rPr>
        <w:t>2.2</w:t>
      </w:r>
      <w:r>
        <w:rPr>
          <w:b/>
          <w:bCs/>
          <w:sz w:val="24"/>
          <w:szCs w:val="24"/>
        </w:rPr>
        <w:tab/>
      </w:r>
      <w:r w:rsidRPr="00441553">
        <w:rPr>
          <w:b/>
          <w:bCs/>
          <w:sz w:val="24"/>
          <w:szCs w:val="24"/>
        </w:rPr>
        <w:t>Literature Review and Hypothesis Development</w:t>
      </w:r>
    </w:p>
    <w:p w14:paraId="0C055514" w14:textId="77777777" w:rsidR="00441553" w:rsidRDefault="00441553" w:rsidP="00441553">
      <w:pPr>
        <w:pStyle w:val="BodyTextIndent"/>
        <w:spacing w:after="120"/>
      </w:pPr>
      <w:r>
        <w:t>Eccles et al [21] states that the ESG criteria can help determine a company's financial performance better in the future (return and risk). The existence of the ESG program encourages companies with higher financial performance to be able to compete [3]. In addition, ESG investment helps companies reduce costs and increase revenue and profits. The profitability of ESG companies is, on average, higher than non-ESG companies. The ratio of net income to total revenue is 11.4% for ESG companies compared to 9.6% for non-ESG companies. Using data from 65 Indian public companies from 2015-2017, [22] also found that disclosure of good company ESG improves economic performance.</w:t>
      </w:r>
    </w:p>
    <w:p w14:paraId="439D8B46" w14:textId="77777777" w:rsidR="00441553" w:rsidRDefault="00441553" w:rsidP="00441553">
      <w:pPr>
        <w:pStyle w:val="BodyTextIndent"/>
        <w:spacing w:after="120"/>
      </w:pPr>
      <w:r>
        <w:t>Survey of [3] further shows that the majority of practitioners (57%) believe that the ESG program creates shareholder value. While only three percent of respondent states that this program reduces shareholder value, and the rest doubt its effect (no effect). Thus, the majority of respondents who believe that they would increase the share value interpreting the importance of the ESG program to meet stakeholder expectations. AJP adds that the ESG factor should be a priority for all investors, including investors in the real sector or entrepreneurs. Other studies (([23], [24], [25]) find that increasing transparency and accountability of ESG plays a role in increasing company value. Thus, market forces generally value companies that have high ESG investments.</w:t>
      </w:r>
    </w:p>
    <w:p w14:paraId="0DF4E050" w14:textId="77777777" w:rsidR="00441553" w:rsidRDefault="00441553" w:rsidP="00441553">
      <w:pPr>
        <w:pStyle w:val="BodyTextIndent"/>
        <w:spacing w:after="120"/>
      </w:pPr>
    </w:p>
    <w:p w14:paraId="064E156A" w14:textId="77777777" w:rsidR="00441553" w:rsidRDefault="00441553" w:rsidP="00441553">
      <w:pPr>
        <w:pStyle w:val="BodyTextIndent"/>
        <w:spacing w:after="120"/>
      </w:pPr>
      <w:r>
        <w:lastRenderedPageBreak/>
        <w:t>The principle underlying the association behind ESG investment and economic performance lies in the identification and measurement of intangible values held by companies that are environmental &amp; social friendly responsible with strong governance policies [1]. In accordance with studies conducted by Oxford University which confirm that good ESG activities are correlated with lower operating costs, better profitability, and superior stock price performance [26]. In addition, in line with stakeholder theory, agency theory and information asymmetry theory, managers who disclose ESG investment can reduce a company's exposure to risk in the future, which in turn creates value for investors and other stakeholders with a long-term business model.</w:t>
      </w:r>
    </w:p>
    <w:p w14:paraId="7C982765" w14:textId="77777777" w:rsidR="00441553" w:rsidRDefault="00441553" w:rsidP="00441553">
      <w:pPr>
        <w:pStyle w:val="BodyTextIndent"/>
        <w:spacing w:after="120"/>
      </w:pPr>
      <w:r>
        <w:t>Otherwise, ESG investment can not only provide an important signal for investors, but ESG can also maximize profits for all companies. ESG investment can even help new companies and small and medium-sized companies to increase their productivity and competitiveness. Therefore, all companies, regardless of their size and whether they are listed on the stock market, must integrate ESG investments in their core business strategies and consider ESG investments as an important part of growth strategies. The first hypothesis of this study is:</w:t>
      </w:r>
    </w:p>
    <w:p w14:paraId="742C4E1E" w14:textId="77777777" w:rsidR="00441553" w:rsidRDefault="00441553" w:rsidP="00441553">
      <w:pPr>
        <w:pStyle w:val="BodyTextIndent"/>
        <w:spacing w:after="120"/>
      </w:pPr>
      <w:r>
        <w:t>H1: ESG investment has a positive effect on the company's performance</w:t>
      </w:r>
    </w:p>
    <w:p w14:paraId="23D3C42A" w14:textId="77777777" w:rsidR="00441553" w:rsidRDefault="00441553" w:rsidP="00441553">
      <w:pPr>
        <w:pStyle w:val="BodyTextIndent"/>
        <w:spacing w:after="120"/>
      </w:pPr>
      <w:r>
        <w:t>Claudio &amp; Ferrarese [27] investigates the association between scores and characteristics of corporate bond issuers. They find the integration of ESG characteristics and corporate bond portfolios could add value by increasing performance and reducing company volatility. This is due to the monotonous relationship between the company's ESG score and the 5-year bond spread. Companies with higher ESG scores are associated with lower credit spreads. In line with their study, [28] further prove that ESG has a positive impact on investment grade bonds in Europe. In addition, ESG factors have so far been taken into consideration by fixed income investors through imposing higher interest costs on debt if they have bad ESG credentials. Thus, ESG investment can be an additional or complementary factor when considering companies' ability to pay their obligations. Thus, the second hypothesis of this research is:</w:t>
      </w:r>
    </w:p>
    <w:p w14:paraId="0E194D56" w14:textId="77777777" w:rsidR="00441553" w:rsidRDefault="00441553" w:rsidP="00441553">
      <w:pPr>
        <w:pStyle w:val="BodyTextIndent"/>
        <w:spacing w:after="120"/>
      </w:pPr>
      <w:r>
        <w:t>H2: Corporate bond issuer reinforces the positive effect of ESG investment on the company's performance</w:t>
      </w:r>
    </w:p>
    <w:p w14:paraId="73FB05AA" w14:textId="77777777" w:rsidR="00441553" w:rsidRDefault="00441553" w:rsidP="00441553">
      <w:pPr>
        <w:pStyle w:val="BodyTextIndent"/>
        <w:spacing w:after="120"/>
      </w:pPr>
      <w:r>
        <w:t>There is a phenomenon in emerging markets that the government is the main actor investing with other investors in publicly traded securities. This study carries this idea by investigating the possible effects of state ownership on the involvement of companies with environmental problems. Thus, this study focuses on whether state ownership plays a complement to ESG so that it reinforces this effect on company performance. Hsu and Matos [29] document that state ownership in developing capital markets reached 25% compared to developed companies, which were only 4% of public companies. They also find that state ownership promotes environmental involvement as a political endeavor.</w:t>
      </w:r>
    </w:p>
    <w:p w14:paraId="00155142" w14:textId="77777777" w:rsidR="00441553" w:rsidRDefault="00441553" w:rsidP="00441553">
      <w:pPr>
        <w:pStyle w:val="BodyTextIndent"/>
        <w:spacing w:after="120"/>
      </w:pPr>
      <w:r>
        <w:t xml:space="preserve">In accordance with stakeholder theory, when the institutional owner (government) controls the company, the company decision is determined by the level of pressure from the government. If governments lack interest in environmental protection, companies will not likely increase their investment in environmental protection practices. Thus, ESG invested by government-owned companies will be more valued by stakeholders (a positive signal) </w:t>
      </w:r>
      <w:r>
        <w:t>because of the government's commitment to be more involved in sustainability issues and to have better ESG activity.</w:t>
      </w:r>
    </w:p>
    <w:p w14:paraId="6FC0717A" w14:textId="77777777" w:rsidR="00A83E39" w:rsidRDefault="00441553" w:rsidP="00267305">
      <w:pPr>
        <w:pStyle w:val="BodyTextIndent"/>
        <w:spacing w:after="120"/>
        <w:ind w:firstLine="0"/>
      </w:pPr>
      <w:r>
        <w:t>H3: Government ownership strengthens the positive effect of ESG investment on the company's performance</w:t>
      </w:r>
    </w:p>
    <w:p w14:paraId="4572FA05" w14:textId="77777777" w:rsidR="00A83E39" w:rsidRDefault="00A83E39" w:rsidP="00267305">
      <w:pPr>
        <w:pStyle w:val="BodyTextIndent"/>
        <w:spacing w:after="120"/>
        <w:ind w:firstLine="0"/>
        <w:rPr>
          <w:b/>
          <w:bCs/>
          <w:sz w:val="24"/>
          <w:szCs w:val="24"/>
        </w:rPr>
      </w:pPr>
    </w:p>
    <w:p w14:paraId="6A6FB9AB" w14:textId="331B9D6C" w:rsidR="00267305" w:rsidRPr="00267305" w:rsidRDefault="00267305" w:rsidP="00267305">
      <w:pPr>
        <w:pStyle w:val="BodyTextIndent"/>
        <w:spacing w:after="120"/>
        <w:ind w:firstLine="0"/>
        <w:rPr>
          <w:b/>
          <w:bCs/>
          <w:sz w:val="24"/>
          <w:szCs w:val="24"/>
        </w:rPr>
      </w:pPr>
      <w:r>
        <w:rPr>
          <w:b/>
          <w:bCs/>
          <w:sz w:val="24"/>
          <w:szCs w:val="24"/>
        </w:rPr>
        <w:t xml:space="preserve">3. </w:t>
      </w:r>
      <w:r w:rsidRPr="00267305">
        <w:rPr>
          <w:b/>
          <w:bCs/>
          <w:sz w:val="24"/>
          <w:szCs w:val="24"/>
        </w:rPr>
        <w:t>DATA AND RESEARCH METHOD</w:t>
      </w:r>
    </w:p>
    <w:p w14:paraId="5B32D120" w14:textId="7AA6ABF7" w:rsidR="00267305" w:rsidRPr="00267305" w:rsidRDefault="00267305" w:rsidP="00267305">
      <w:pPr>
        <w:pStyle w:val="BodyTextIndent"/>
        <w:spacing w:after="120"/>
        <w:ind w:left="360" w:hanging="360"/>
        <w:rPr>
          <w:b/>
          <w:bCs/>
          <w:sz w:val="24"/>
          <w:szCs w:val="24"/>
        </w:rPr>
      </w:pPr>
      <w:r>
        <w:rPr>
          <w:b/>
          <w:bCs/>
          <w:sz w:val="24"/>
          <w:szCs w:val="24"/>
        </w:rPr>
        <w:t>3.1</w:t>
      </w:r>
      <w:r>
        <w:rPr>
          <w:b/>
          <w:bCs/>
          <w:sz w:val="24"/>
          <w:szCs w:val="24"/>
        </w:rPr>
        <w:tab/>
      </w:r>
      <w:r w:rsidRPr="00267305">
        <w:rPr>
          <w:b/>
          <w:bCs/>
          <w:sz w:val="24"/>
          <w:szCs w:val="24"/>
        </w:rPr>
        <w:t>Data</w:t>
      </w:r>
    </w:p>
    <w:p w14:paraId="478DAA11" w14:textId="77777777" w:rsidR="00267305" w:rsidRDefault="00267305" w:rsidP="00267305">
      <w:pPr>
        <w:pStyle w:val="BodyTextIndent"/>
        <w:spacing w:after="120"/>
      </w:pPr>
      <w:r>
        <w:t>The analysis of this study is based on firm-level data in ASEAN-5 (Indonesia, Malaysia, the Philippines, Singapore and Thailand) during 2017-2019 (as of December 31). In this study, we use secondary data from the annual report and the ESG dataset that provides credible data for 2017-2019. Annual report is used to obtain the dependent data (ROA, stock return) and several other independent variables. ESG as an independent variable was obtained from the Morgan Stanley Climate Index (MSCI) in the form of indexes or MSCI ESG Indexes. This index is designed to represent the performance of the most common ESG investment approach by entering, reconsidering or excluding companies by utilizing ESG criteria. During the observation period, the total number of companies listed in ASEAN rated ESG was 83 companies or 249 observations.</w:t>
      </w:r>
    </w:p>
    <w:p w14:paraId="20C2282B" w14:textId="77777777" w:rsidR="00267305" w:rsidRDefault="00267305" w:rsidP="00267305">
      <w:pPr>
        <w:pStyle w:val="BodyTextIndent"/>
        <w:spacing w:after="120"/>
      </w:pPr>
      <w:r>
        <w:t>Furthermore, this study uses a moderating variable that is the dummy of the green bond issuer (GB) and the percentage of ownership by the government or stated-owned organization (SOE). Specifically, the five other drivers of company performance for organizations (control variables) selected are firm size (SIZE), firm leverage (LEV), industry/organizational sector (IND), and Gross Domestic Product Growth (GDPG). Firm size (SIZE) is controlled due to the firms that have the same dimensions must be in the same stage of maturity and have access to similar resources - financial, intellectual, and technological. Firm size is represented in the dollar amount of total assets. Specifically, the natural logarithm of Total Assets has been used as a proxy for measures to standardize measurements given the significant differences in the value of Total Assets over time and between different firms, allowing correction of outliers. The leverage ratio (LEV) is the ratio used to measure how much the company's debt is financed by assets and equity. In this study, leverage is calculated by Debt to Asset Ratio (DAR). Low value LEV shows better level of security of funds. Sector or industry (IND) is used to control the possibility of different risk effects because companies belonging to the same industry are characterized by similar business models and face equal business risks. Companies in the sample from various industries and henceforth are divided into financial and non-financial industries.</w:t>
      </w:r>
    </w:p>
    <w:p w14:paraId="538BB2DE" w14:textId="52B608B2" w:rsidR="00267305" w:rsidRDefault="00267305" w:rsidP="00267305">
      <w:pPr>
        <w:pStyle w:val="BodyTextIndent"/>
        <w:spacing w:after="120"/>
      </w:pPr>
      <w:r>
        <w:t>GDPG is a macroeconomic variable that has been found to be an important factor explaining economic growth. When GDP growth is strong, companies employ more workers and are able to pay higher salaries and wages, which leads to more consumer spending on goods and services. Furthermore, the high level of demand has the potential to increase company performance. The following models are used to estimate the effect of ESG on company performance.</w:t>
      </w:r>
    </w:p>
    <w:p w14:paraId="40962D6F" w14:textId="77777777" w:rsidR="00A83E39" w:rsidRDefault="00A83E39" w:rsidP="00A83E39">
      <w:pPr>
        <w:spacing w:after="160" w:line="256" w:lineRule="auto"/>
        <w:rPr>
          <w:sz w:val="24"/>
          <w:szCs w:val="24"/>
        </w:rPr>
      </w:pPr>
    </w:p>
    <w:p w14:paraId="5C59DBC1" w14:textId="5ED3A539" w:rsidR="00A83E39" w:rsidRPr="0063637C" w:rsidRDefault="00BC3E54" w:rsidP="00A83E39">
      <w:pPr>
        <w:pStyle w:val="ListParagraph"/>
        <w:spacing w:before="240" w:line="240" w:lineRule="auto"/>
        <w:ind w:left="0"/>
        <w:jc w:val="center"/>
        <w:rPr>
          <w:bCs/>
          <w:iCs/>
          <w:sz w:val="18"/>
          <w:szCs w:val="18"/>
        </w:rPr>
      </w:pPr>
      <m:oMathPara>
        <m:oMathParaPr>
          <m:jc m:val="left"/>
        </m:oMathParaPr>
        <m:oMath>
          <m:sSub>
            <m:sSubPr>
              <m:ctrlPr>
                <w:rPr>
                  <w:rFonts w:ascii="Cambria Math" w:hAnsi="Cambria Math"/>
                  <w:bCs/>
                  <w:iCs/>
                  <w:sz w:val="18"/>
                  <w:szCs w:val="18"/>
                  <w:lang w:val="id-ID"/>
                </w:rPr>
              </m:ctrlPr>
            </m:sSubPr>
            <m:e>
              <m:r>
                <m:rPr>
                  <m:sty m:val="p"/>
                </m:rPr>
                <w:rPr>
                  <w:rFonts w:ascii="Cambria Math" w:hAnsi="Cambria Math"/>
                  <w:sz w:val="18"/>
                  <w:szCs w:val="18"/>
                  <w:lang w:val="id-ID"/>
                </w:rPr>
                <m:t>ROA</m:t>
              </m:r>
            </m:e>
            <m:sub>
              <m:r>
                <m:rPr>
                  <m:sty m:val="p"/>
                </m:rPr>
                <w:rPr>
                  <w:rFonts w:ascii="Cambria Math" w:hAnsi="Cambria Math"/>
                  <w:sz w:val="18"/>
                  <w:szCs w:val="18"/>
                  <w:lang w:val="id-ID"/>
                </w:rPr>
                <m:t>i,t</m:t>
              </m:r>
            </m:sub>
          </m:sSub>
          <m:r>
            <m:rPr>
              <m:sty m:val="p"/>
            </m:rPr>
            <w:rPr>
              <w:rFonts w:ascii="Cambria Math" w:hAnsi="Cambria Math"/>
              <w:sz w:val="18"/>
              <w:szCs w:val="18"/>
              <w:lang w:val="id-ID"/>
            </w:rPr>
            <m:t xml:space="preserve"> = </m:t>
          </m:r>
          <m:sSub>
            <m:sSubPr>
              <m:ctrlPr>
                <w:rPr>
                  <w:rFonts w:ascii="Cambria Math" w:hAnsi="Cambria Math"/>
                  <w:bCs/>
                  <w:iCs/>
                  <w:sz w:val="18"/>
                  <w:szCs w:val="18"/>
                  <w:lang w:val="id-ID"/>
                </w:rPr>
              </m:ctrlPr>
            </m:sSubPr>
            <m:e>
              <m:r>
                <m:rPr>
                  <m:sty m:val="p"/>
                </m:rPr>
                <w:rPr>
                  <w:rFonts w:ascii="Cambria Math" w:hAnsi="Cambria Math"/>
                  <w:sz w:val="18"/>
                  <w:szCs w:val="18"/>
                  <w:lang w:val="id-ID"/>
                </w:rPr>
                <m:t>∝</m:t>
              </m:r>
            </m:e>
            <m:sub>
              <m:r>
                <m:rPr>
                  <m:sty m:val="p"/>
                </m:rPr>
                <w:rPr>
                  <w:rFonts w:ascii="Cambria Math" w:hAnsi="Cambria Math"/>
                  <w:sz w:val="18"/>
                  <w:szCs w:val="18"/>
                  <w:lang w:val="id-ID"/>
                </w:rPr>
                <m:t>0</m:t>
              </m:r>
            </m:sub>
          </m:sSub>
          <m:r>
            <m:rPr>
              <m:sty m:val="p"/>
            </m:rPr>
            <w:rPr>
              <w:rFonts w:ascii="Cambria Math" w:hAnsi="Cambria Math"/>
              <w:sz w:val="18"/>
              <w:szCs w:val="18"/>
              <w:lang w:val="id-ID"/>
            </w:rPr>
            <m:t>+</m:t>
          </m:r>
          <m:sSub>
            <m:sSubPr>
              <m:ctrlPr>
                <w:rPr>
                  <w:rFonts w:ascii="Cambria Math" w:hAnsi="Cambria Math"/>
                  <w:bCs/>
                  <w:iCs/>
                  <w:sz w:val="18"/>
                  <w:szCs w:val="18"/>
                  <w:lang w:val="id-ID"/>
                </w:rPr>
              </m:ctrlPr>
            </m:sSubPr>
            <m:e>
              <m:r>
                <m:rPr>
                  <m:sty m:val="p"/>
                </m:rPr>
                <w:rPr>
                  <w:rFonts w:ascii="Cambria Math" w:hAnsi="Cambria Math"/>
                  <w:sz w:val="18"/>
                  <w:szCs w:val="18"/>
                  <w:lang w:val="id-ID"/>
                </w:rPr>
                <m:t>∝</m:t>
              </m:r>
            </m:e>
            <m:sub>
              <m:r>
                <m:rPr>
                  <m:sty m:val="p"/>
                </m:rPr>
                <w:rPr>
                  <w:rFonts w:ascii="Cambria Math" w:hAnsi="Cambria Math"/>
                  <w:sz w:val="18"/>
                  <w:szCs w:val="18"/>
                  <w:lang w:val="id-ID"/>
                </w:rPr>
                <m:t>1</m:t>
              </m:r>
            </m:sub>
          </m:sSub>
          <m:sSub>
            <m:sSubPr>
              <m:ctrlPr>
                <w:rPr>
                  <w:rFonts w:ascii="Cambria Math" w:hAnsi="Cambria Math"/>
                  <w:bCs/>
                  <w:iCs/>
                  <w:sz w:val="18"/>
                  <w:szCs w:val="18"/>
                  <w:lang w:val="id-ID"/>
                </w:rPr>
              </m:ctrlPr>
            </m:sSubPr>
            <m:e>
              <m:r>
                <m:rPr>
                  <m:sty m:val="p"/>
                </m:rPr>
                <w:rPr>
                  <w:rFonts w:ascii="Cambria Math" w:hAnsi="Cambria Math"/>
                  <w:sz w:val="18"/>
                  <w:szCs w:val="18"/>
                  <w:lang w:val="id-ID"/>
                </w:rPr>
                <m:t>ESG</m:t>
              </m:r>
            </m:e>
            <m:sub>
              <m:r>
                <m:rPr>
                  <m:sty m:val="p"/>
                </m:rPr>
                <w:rPr>
                  <w:rFonts w:ascii="Cambria Math" w:hAnsi="Cambria Math"/>
                  <w:sz w:val="18"/>
                  <w:szCs w:val="18"/>
                  <w:lang w:val="id-ID"/>
                </w:rPr>
                <m:t>it</m:t>
              </m:r>
            </m:sub>
          </m:sSub>
          <m:r>
            <m:rPr>
              <m:sty m:val="p"/>
            </m:rPr>
            <w:rPr>
              <w:rFonts w:ascii="Cambria Math" w:hAnsi="Cambria Math"/>
              <w:sz w:val="18"/>
              <w:szCs w:val="18"/>
              <w:lang w:val="id-ID"/>
            </w:rPr>
            <m:t xml:space="preserve">+ </m:t>
          </m:r>
          <m:sSub>
            <m:sSubPr>
              <m:ctrlPr>
                <w:rPr>
                  <w:rFonts w:ascii="Cambria Math" w:hAnsi="Cambria Math"/>
                  <w:bCs/>
                  <w:iCs/>
                  <w:sz w:val="18"/>
                  <w:szCs w:val="18"/>
                  <w:lang w:val="id-ID"/>
                </w:rPr>
              </m:ctrlPr>
            </m:sSubPr>
            <m:e>
              <m:r>
                <m:rPr>
                  <m:sty m:val="p"/>
                </m:rPr>
                <w:rPr>
                  <w:rFonts w:ascii="Cambria Math" w:hAnsi="Cambria Math"/>
                  <w:sz w:val="18"/>
                  <w:szCs w:val="18"/>
                  <w:lang w:val="id-ID"/>
                </w:rPr>
                <m:t>∝</m:t>
              </m:r>
            </m:e>
            <m:sub>
              <m:r>
                <m:rPr>
                  <m:sty m:val="p"/>
                </m:rPr>
                <w:rPr>
                  <w:rFonts w:ascii="Cambria Math" w:hAnsi="Cambria Math"/>
                  <w:sz w:val="18"/>
                  <w:szCs w:val="18"/>
                  <w:lang w:val="id-ID"/>
                </w:rPr>
                <m:t>2</m:t>
              </m:r>
            </m:sub>
          </m:sSub>
          <m:sSub>
            <m:sSubPr>
              <m:ctrlPr>
                <w:rPr>
                  <w:rFonts w:ascii="Cambria Math" w:hAnsi="Cambria Math"/>
                  <w:bCs/>
                  <w:iCs/>
                  <w:sz w:val="18"/>
                  <w:szCs w:val="18"/>
                  <w:lang w:val="id-ID"/>
                </w:rPr>
              </m:ctrlPr>
            </m:sSubPr>
            <m:e>
              <m:r>
                <m:rPr>
                  <m:sty m:val="p"/>
                </m:rPr>
                <w:rPr>
                  <w:rFonts w:ascii="Cambria Math" w:hAnsi="Cambria Math"/>
                  <w:sz w:val="18"/>
                  <w:szCs w:val="18"/>
                  <w:lang w:val="id-ID"/>
                </w:rPr>
                <m:t>GB+</m:t>
              </m:r>
              <m:sSub>
                <m:sSubPr>
                  <m:ctrlPr>
                    <w:rPr>
                      <w:rFonts w:ascii="Cambria Math" w:hAnsi="Cambria Math"/>
                      <w:bCs/>
                      <w:iCs/>
                      <w:sz w:val="18"/>
                      <w:szCs w:val="18"/>
                      <w:lang w:val="id-ID"/>
                    </w:rPr>
                  </m:ctrlPr>
                </m:sSubPr>
                <m:e>
                  <m:r>
                    <m:rPr>
                      <m:sty m:val="p"/>
                    </m:rPr>
                    <w:rPr>
                      <w:rFonts w:ascii="Cambria Math" w:hAnsi="Cambria Math"/>
                      <w:sz w:val="18"/>
                      <w:szCs w:val="18"/>
                      <w:lang w:val="id-ID"/>
                    </w:rPr>
                    <m:t>∝</m:t>
                  </m:r>
                </m:e>
                <m:sub>
                  <m:r>
                    <m:rPr>
                      <m:sty m:val="p"/>
                    </m:rPr>
                    <w:rPr>
                      <w:rFonts w:ascii="Cambria Math" w:hAnsi="Cambria Math"/>
                      <w:sz w:val="18"/>
                      <w:szCs w:val="18"/>
                      <w:lang w:val="id-ID"/>
                    </w:rPr>
                    <m:t>3</m:t>
                  </m:r>
                </m:sub>
              </m:sSub>
              <m:r>
                <m:rPr>
                  <m:sty m:val="p"/>
                </m:rPr>
                <w:rPr>
                  <w:rFonts w:ascii="Cambria Math" w:hAnsi="Cambria Math"/>
                  <w:sz w:val="18"/>
                  <w:szCs w:val="18"/>
                  <w:lang w:val="id-ID"/>
                </w:rPr>
                <m:t>GOV+</m:t>
              </m:r>
              <m:sSub>
                <m:sSubPr>
                  <m:ctrlPr>
                    <w:rPr>
                      <w:rFonts w:ascii="Cambria Math" w:hAnsi="Cambria Math"/>
                      <w:bCs/>
                      <w:iCs/>
                      <w:sz w:val="18"/>
                      <w:szCs w:val="18"/>
                      <w:lang w:val="id-ID"/>
                    </w:rPr>
                  </m:ctrlPr>
                </m:sSubPr>
                <m:e>
                  <m:r>
                    <m:rPr>
                      <m:sty m:val="p"/>
                    </m:rPr>
                    <w:rPr>
                      <w:rFonts w:ascii="Cambria Math" w:hAnsi="Cambria Math"/>
                      <w:sz w:val="18"/>
                      <w:szCs w:val="18"/>
                      <w:lang w:val="id-ID"/>
                    </w:rPr>
                    <m:t>∝</m:t>
                  </m:r>
                </m:e>
                <m:sub>
                  <m:r>
                    <m:rPr>
                      <m:sty m:val="p"/>
                    </m:rPr>
                    <w:rPr>
                      <w:rFonts w:ascii="Cambria Math" w:hAnsi="Cambria Math"/>
                      <w:sz w:val="18"/>
                      <w:szCs w:val="18"/>
                      <w:lang w:val="id-ID"/>
                    </w:rPr>
                    <m:t>4</m:t>
                  </m:r>
                </m:sub>
              </m:sSub>
              <m:r>
                <m:rPr>
                  <m:sty m:val="p"/>
                </m:rPr>
                <w:rPr>
                  <w:rFonts w:ascii="Cambria Math" w:hAnsi="Cambria Math"/>
                  <w:sz w:val="18"/>
                  <w:szCs w:val="18"/>
                  <w:lang w:val="id-ID"/>
                </w:rPr>
                <m:t xml:space="preserve">ESG*GB+ </m:t>
              </m:r>
              <m:sSub>
                <m:sSubPr>
                  <m:ctrlPr>
                    <w:rPr>
                      <w:rFonts w:ascii="Cambria Math" w:hAnsi="Cambria Math"/>
                      <w:bCs/>
                      <w:iCs/>
                      <w:sz w:val="18"/>
                      <w:szCs w:val="18"/>
                      <w:lang w:val="id-ID"/>
                    </w:rPr>
                  </m:ctrlPr>
                </m:sSubPr>
                <m:e>
                  <m:r>
                    <m:rPr>
                      <m:sty m:val="p"/>
                    </m:rPr>
                    <w:rPr>
                      <w:rFonts w:ascii="Cambria Math" w:hAnsi="Cambria Math"/>
                      <w:sz w:val="18"/>
                      <w:szCs w:val="18"/>
                      <w:lang w:val="id-ID"/>
                    </w:rPr>
                    <m:t>∝</m:t>
                  </m:r>
                </m:e>
                <m:sub>
                  <m:r>
                    <m:rPr>
                      <m:sty m:val="p"/>
                    </m:rPr>
                    <w:rPr>
                      <w:rFonts w:ascii="Cambria Math" w:hAnsi="Cambria Math"/>
                      <w:sz w:val="18"/>
                      <w:szCs w:val="18"/>
                      <w:lang w:val="id-ID"/>
                    </w:rPr>
                    <m:t>5</m:t>
                  </m:r>
                </m:sub>
              </m:sSub>
              <m:r>
                <m:rPr>
                  <m:sty m:val="p"/>
                </m:rPr>
                <w:rPr>
                  <w:rFonts w:ascii="Cambria Math" w:hAnsi="Cambria Math"/>
                  <w:sz w:val="18"/>
                  <w:szCs w:val="18"/>
                  <w:lang w:val="id-ID"/>
                </w:rPr>
                <m:t>ESG*GOV+</m:t>
              </m:r>
              <m:sSub>
                <m:sSubPr>
                  <m:ctrlPr>
                    <w:rPr>
                      <w:rFonts w:ascii="Cambria Math" w:hAnsi="Cambria Math"/>
                      <w:bCs/>
                      <w:iCs/>
                      <w:sz w:val="18"/>
                      <w:szCs w:val="18"/>
                      <w:lang w:val="id-ID"/>
                    </w:rPr>
                  </m:ctrlPr>
                </m:sSubPr>
                <m:e>
                  <m:r>
                    <m:rPr>
                      <m:sty m:val="p"/>
                    </m:rPr>
                    <w:rPr>
                      <w:rFonts w:ascii="Cambria Math" w:hAnsi="Cambria Math"/>
                      <w:sz w:val="18"/>
                      <w:szCs w:val="18"/>
                      <w:lang w:val="id-ID"/>
                    </w:rPr>
                    <m:t>∝</m:t>
                  </m:r>
                </m:e>
                <m:sub>
                  <m:r>
                    <m:rPr>
                      <m:sty m:val="p"/>
                    </m:rPr>
                    <w:rPr>
                      <w:rFonts w:ascii="Cambria Math" w:hAnsi="Cambria Math"/>
                      <w:sz w:val="18"/>
                      <w:szCs w:val="18"/>
                      <w:lang w:val="id-ID"/>
                    </w:rPr>
                    <m:t>6</m:t>
                  </m:r>
                </m:sub>
              </m:sSub>
              <m:r>
                <m:rPr>
                  <m:sty m:val="p"/>
                </m:rPr>
                <w:rPr>
                  <w:rFonts w:ascii="Cambria Math" w:hAnsi="Cambria Math"/>
                  <w:sz w:val="18"/>
                  <w:szCs w:val="18"/>
                  <w:lang w:val="id-ID"/>
                </w:rPr>
                <m:t>SIZE</m:t>
              </m:r>
            </m:e>
            <m:sub>
              <m:r>
                <m:rPr>
                  <m:sty m:val="p"/>
                </m:rPr>
                <w:rPr>
                  <w:rFonts w:ascii="Cambria Math" w:hAnsi="Cambria Math"/>
                  <w:sz w:val="18"/>
                  <w:szCs w:val="18"/>
                  <w:lang w:val="id-ID"/>
                </w:rPr>
                <m:t>it</m:t>
              </m:r>
            </m:sub>
          </m:sSub>
          <m:r>
            <m:rPr>
              <m:sty m:val="p"/>
            </m:rPr>
            <w:rPr>
              <w:rFonts w:ascii="Cambria Math" w:hAnsi="Cambria Math"/>
              <w:sz w:val="18"/>
              <w:szCs w:val="18"/>
              <w:lang w:val="id-ID"/>
            </w:rPr>
            <m:t xml:space="preserve">+ </m:t>
          </m:r>
          <m:sSub>
            <m:sSubPr>
              <m:ctrlPr>
                <w:rPr>
                  <w:rFonts w:ascii="Cambria Math" w:hAnsi="Cambria Math"/>
                  <w:bCs/>
                  <w:iCs/>
                  <w:sz w:val="18"/>
                  <w:szCs w:val="18"/>
                  <w:lang w:val="id-ID"/>
                </w:rPr>
              </m:ctrlPr>
            </m:sSubPr>
            <m:e>
              <m:r>
                <m:rPr>
                  <m:sty m:val="p"/>
                </m:rPr>
                <w:rPr>
                  <w:rFonts w:ascii="Cambria Math" w:hAnsi="Cambria Math"/>
                  <w:sz w:val="18"/>
                  <w:szCs w:val="18"/>
                  <w:lang w:val="id-ID"/>
                </w:rPr>
                <m:t>∝</m:t>
              </m:r>
            </m:e>
            <m:sub>
              <m:r>
                <m:rPr>
                  <m:sty m:val="p"/>
                </m:rPr>
                <w:rPr>
                  <w:rFonts w:ascii="Cambria Math" w:hAnsi="Cambria Math"/>
                  <w:sz w:val="18"/>
                  <w:szCs w:val="18"/>
                  <w:lang w:val="id-ID"/>
                </w:rPr>
                <m:t>7</m:t>
              </m:r>
            </m:sub>
          </m:sSub>
          <m:sSub>
            <m:sSubPr>
              <m:ctrlPr>
                <w:rPr>
                  <w:rFonts w:ascii="Cambria Math" w:hAnsi="Cambria Math"/>
                  <w:bCs/>
                  <w:iCs/>
                  <w:sz w:val="18"/>
                  <w:szCs w:val="18"/>
                  <w:lang w:val="id-ID"/>
                </w:rPr>
              </m:ctrlPr>
            </m:sSubPr>
            <m:e>
              <m:r>
                <m:rPr>
                  <m:sty m:val="p"/>
                </m:rPr>
                <w:rPr>
                  <w:rFonts w:ascii="Cambria Math" w:hAnsi="Cambria Math"/>
                  <w:sz w:val="18"/>
                  <w:szCs w:val="18"/>
                  <w:lang w:val="id-ID"/>
                </w:rPr>
                <m:t>LEV</m:t>
              </m:r>
            </m:e>
            <m:sub>
              <m:r>
                <m:rPr>
                  <m:sty m:val="p"/>
                </m:rPr>
                <w:rPr>
                  <w:rFonts w:ascii="Cambria Math" w:hAnsi="Cambria Math"/>
                  <w:sz w:val="18"/>
                  <w:szCs w:val="18"/>
                  <w:lang w:val="id-ID"/>
                </w:rPr>
                <m:t>it</m:t>
              </m:r>
            </m:sub>
          </m:sSub>
          <m:r>
            <m:rPr>
              <m:sty m:val="p"/>
            </m:rPr>
            <w:rPr>
              <w:rFonts w:ascii="Cambria Math" w:hAnsi="Cambria Math"/>
              <w:sz w:val="18"/>
              <w:szCs w:val="18"/>
              <w:lang w:val="id-ID"/>
            </w:rPr>
            <m:t>+</m:t>
          </m:r>
          <m:sSub>
            <m:sSubPr>
              <m:ctrlPr>
                <w:rPr>
                  <w:rFonts w:ascii="Cambria Math" w:hAnsi="Cambria Math"/>
                  <w:bCs/>
                  <w:iCs/>
                  <w:sz w:val="18"/>
                  <w:szCs w:val="18"/>
                  <w:lang w:val="id-ID"/>
                </w:rPr>
              </m:ctrlPr>
            </m:sSubPr>
            <m:e>
              <m:sSub>
                <m:sSubPr>
                  <m:ctrlPr>
                    <w:rPr>
                      <w:rFonts w:ascii="Cambria Math" w:hAnsi="Cambria Math"/>
                      <w:bCs/>
                      <w:iCs/>
                      <w:sz w:val="18"/>
                      <w:szCs w:val="18"/>
                      <w:lang w:val="id-ID"/>
                    </w:rPr>
                  </m:ctrlPr>
                </m:sSubPr>
                <m:e>
                  <m:r>
                    <m:rPr>
                      <m:sty m:val="p"/>
                    </m:rPr>
                    <w:rPr>
                      <w:rFonts w:ascii="Cambria Math" w:hAnsi="Cambria Math"/>
                      <w:sz w:val="18"/>
                      <w:szCs w:val="18"/>
                      <w:lang w:val="id-ID"/>
                    </w:rPr>
                    <m:t>∝</m:t>
                  </m:r>
                </m:e>
                <m:sub>
                  <m:r>
                    <m:rPr>
                      <m:sty m:val="p"/>
                    </m:rPr>
                    <w:rPr>
                      <w:rFonts w:ascii="Cambria Math" w:hAnsi="Cambria Math"/>
                      <w:sz w:val="18"/>
                      <w:szCs w:val="18"/>
                      <w:lang w:val="id-ID"/>
                    </w:rPr>
                    <m:t>8</m:t>
                  </m:r>
                </m:sub>
              </m:sSub>
              <m:sSub>
                <m:sSubPr>
                  <m:ctrlPr>
                    <w:rPr>
                      <w:rFonts w:ascii="Cambria Math" w:hAnsi="Cambria Math"/>
                      <w:bCs/>
                      <w:iCs/>
                      <w:sz w:val="18"/>
                      <w:szCs w:val="18"/>
                      <w:lang w:val="id-ID"/>
                    </w:rPr>
                  </m:ctrlPr>
                </m:sSubPr>
                <m:e>
                  <m:r>
                    <m:rPr>
                      <m:sty m:val="p"/>
                    </m:rPr>
                    <w:rPr>
                      <w:rFonts w:ascii="Cambria Math" w:hAnsi="Cambria Math"/>
                      <w:sz w:val="18"/>
                      <w:szCs w:val="18"/>
                      <w:lang w:val="id-ID"/>
                    </w:rPr>
                    <m:t>GDPG</m:t>
                  </m:r>
                </m:e>
                <m:sub>
                  <m:r>
                    <m:rPr>
                      <m:sty m:val="p"/>
                    </m:rPr>
                    <w:rPr>
                      <w:rFonts w:ascii="Cambria Math" w:hAnsi="Cambria Math"/>
                      <w:sz w:val="18"/>
                      <w:szCs w:val="18"/>
                      <w:lang w:val="id-ID"/>
                    </w:rPr>
                    <m:t xml:space="preserve">it  </m:t>
                  </m:r>
                </m:sub>
              </m:sSub>
              <m:sSub>
                <m:sSubPr>
                  <m:ctrlPr>
                    <w:rPr>
                      <w:rFonts w:ascii="Cambria Math" w:hAnsi="Cambria Math"/>
                      <w:bCs/>
                      <w:iCs/>
                      <w:sz w:val="18"/>
                      <w:szCs w:val="18"/>
                      <w:lang w:val="id-ID"/>
                    </w:rPr>
                  </m:ctrlPr>
                </m:sSubPr>
                <m:e>
                  <m:r>
                    <m:rPr>
                      <m:sty m:val="p"/>
                    </m:rPr>
                    <w:rPr>
                      <w:rFonts w:ascii="Cambria Math" w:hAnsi="Cambria Math"/>
                      <w:sz w:val="18"/>
                      <w:szCs w:val="18"/>
                      <w:lang w:val="id-ID"/>
                    </w:rPr>
                    <m:t>+ ∝</m:t>
                  </m:r>
                </m:e>
                <m:sub>
                  <m:r>
                    <m:rPr>
                      <m:sty m:val="p"/>
                    </m:rPr>
                    <w:rPr>
                      <w:rFonts w:ascii="Cambria Math" w:hAnsi="Cambria Math"/>
                      <w:sz w:val="18"/>
                      <w:szCs w:val="18"/>
                      <w:lang w:val="id-ID"/>
                    </w:rPr>
                    <m:t>9</m:t>
                  </m:r>
                </m:sub>
              </m:sSub>
              <m:sSub>
                <m:sSubPr>
                  <m:ctrlPr>
                    <w:rPr>
                      <w:rFonts w:ascii="Cambria Math" w:hAnsi="Cambria Math"/>
                      <w:bCs/>
                      <w:iCs/>
                      <w:sz w:val="18"/>
                      <w:szCs w:val="18"/>
                      <w:lang w:val="id-ID"/>
                    </w:rPr>
                  </m:ctrlPr>
                </m:sSubPr>
                <m:e>
                  <m:r>
                    <m:rPr>
                      <m:sty m:val="p"/>
                    </m:rPr>
                    <w:rPr>
                      <w:rFonts w:ascii="Cambria Math" w:hAnsi="Cambria Math"/>
                      <w:sz w:val="18"/>
                      <w:szCs w:val="18"/>
                      <w:lang w:val="id-ID"/>
                    </w:rPr>
                    <m:t>IND</m:t>
                  </m:r>
                </m:e>
                <m:sub>
                  <m:r>
                    <m:rPr>
                      <m:sty m:val="p"/>
                    </m:rPr>
                    <w:rPr>
                      <w:rFonts w:ascii="Cambria Math" w:hAnsi="Cambria Math"/>
                      <w:sz w:val="18"/>
                      <w:szCs w:val="18"/>
                      <w:lang w:val="id-ID"/>
                    </w:rPr>
                    <m:t>it</m:t>
                  </m:r>
                </m:sub>
              </m:sSub>
              <m:r>
                <m:rPr>
                  <m:sty m:val="p"/>
                </m:rPr>
                <w:rPr>
                  <w:rFonts w:ascii="Cambria Math" w:hAnsi="Cambria Math"/>
                  <w:sz w:val="18"/>
                  <w:szCs w:val="18"/>
                  <w:lang w:val="id-ID"/>
                </w:rPr>
                <m:t>+ε</m:t>
              </m:r>
            </m:e>
            <m:sub>
              <m:r>
                <m:rPr>
                  <m:sty m:val="p"/>
                </m:rPr>
                <w:rPr>
                  <w:rFonts w:ascii="Cambria Math" w:hAnsi="Cambria Math"/>
                  <w:sz w:val="18"/>
                  <w:szCs w:val="18"/>
                  <w:lang w:val="id-ID"/>
                </w:rPr>
                <m:t>it</m:t>
              </m:r>
            </m:sub>
          </m:sSub>
        </m:oMath>
      </m:oMathPara>
    </w:p>
    <w:p w14:paraId="7E50728C" w14:textId="5A34B707" w:rsidR="00A83E39" w:rsidRPr="0063637C" w:rsidRDefault="00A83E39" w:rsidP="00A83E39">
      <w:pPr>
        <w:spacing w:before="240" w:after="120"/>
        <w:rPr>
          <w:szCs w:val="18"/>
        </w:rPr>
      </w:pPr>
      <w:r>
        <w:rPr>
          <w:sz w:val="24"/>
          <w:szCs w:val="24"/>
        </w:rPr>
        <w:tab/>
      </w:r>
      <w:r w:rsidRPr="0063637C">
        <w:rPr>
          <w:szCs w:val="18"/>
        </w:rPr>
        <w:tab/>
      </w:r>
      <w:r w:rsidRPr="0063637C">
        <w:rPr>
          <w:szCs w:val="18"/>
        </w:rPr>
        <w:tab/>
      </w:r>
      <w:r w:rsidRPr="0063637C">
        <w:rPr>
          <w:szCs w:val="18"/>
        </w:rPr>
        <w:tab/>
      </w:r>
      <w:r w:rsidRPr="0063637C">
        <w:rPr>
          <w:szCs w:val="18"/>
        </w:rPr>
        <w:tab/>
      </w:r>
      <w:r w:rsidRPr="0063637C">
        <w:rPr>
          <w:szCs w:val="18"/>
        </w:rPr>
        <w:tab/>
      </w:r>
      <w:r w:rsidRPr="0063637C">
        <w:rPr>
          <w:szCs w:val="18"/>
        </w:rPr>
        <w:tab/>
      </w:r>
      <w:r w:rsidRPr="0063637C">
        <w:rPr>
          <w:szCs w:val="18"/>
        </w:rPr>
        <w:tab/>
      </w:r>
      <w:r w:rsidRPr="0063637C">
        <w:rPr>
          <w:szCs w:val="18"/>
        </w:rPr>
        <w:tab/>
      </w:r>
      <w:r w:rsidRPr="0063637C">
        <w:rPr>
          <w:szCs w:val="18"/>
        </w:rPr>
        <w:tab/>
      </w:r>
      <w:r w:rsidRPr="0063637C">
        <w:rPr>
          <w:szCs w:val="18"/>
        </w:rPr>
        <w:tab/>
        <w:t>(1)</w:t>
      </w:r>
    </w:p>
    <w:p w14:paraId="559E952E" w14:textId="77777777" w:rsidR="0063637C" w:rsidRPr="0063637C" w:rsidRDefault="0063637C" w:rsidP="0063637C">
      <w:pPr>
        <w:pStyle w:val="ListParagraph"/>
        <w:spacing w:before="240" w:line="240" w:lineRule="auto"/>
        <w:ind w:left="0"/>
        <w:jc w:val="center"/>
        <w:rPr>
          <w:bCs/>
          <w:iCs/>
          <w:sz w:val="18"/>
          <w:szCs w:val="18"/>
        </w:rPr>
      </w:pPr>
      <m:oMathPara>
        <m:oMath>
          <m:r>
            <m:rPr>
              <m:sty m:val="p"/>
            </m:rPr>
            <w:rPr>
              <w:rFonts w:ascii="Cambria Math" w:hAnsi="Cambria Math"/>
              <w:sz w:val="18"/>
              <w:szCs w:val="18"/>
              <w:lang w:val="id-ID"/>
            </w:rPr>
            <m:t xml:space="preserve">RETi,t= </m:t>
          </m:r>
          <m:sSub>
            <m:sSubPr>
              <m:ctrlPr>
                <w:rPr>
                  <w:rFonts w:ascii="Cambria Math" w:hAnsi="Cambria Math"/>
                  <w:bCs/>
                  <w:iCs/>
                  <w:sz w:val="18"/>
                  <w:szCs w:val="18"/>
                  <w:lang w:val="id-ID"/>
                </w:rPr>
              </m:ctrlPr>
            </m:sSubPr>
            <m:e>
              <m:r>
                <m:rPr>
                  <m:sty m:val="p"/>
                </m:rPr>
                <w:rPr>
                  <w:rFonts w:ascii="Cambria Math" w:hAnsi="Cambria Math"/>
                  <w:sz w:val="18"/>
                  <w:szCs w:val="18"/>
                  <w:lang w:val="id-ID"/>
                </w:rPr>
                <m:t>β</m:t>
              </m:r>
            </m:e>
            <m:sub>
              <m:r>
                <m:rPr>
                  <m:sty m:val="p"/>
                </m:rPr>
                <w:rPr>
                  <w:rFonts w:ascii="Cambria Math" w:hAnsi="Cambria Math"/>
                  <w:sz w:val="18"/>
                  <w:szCs w:val="18"/>
                  <w:lang w:val="id-ID"/>
                </w:rPr>
                <m:t>0</m:t>
              </m:r>
            </m:sub>
          </m:sSub>
          <m:r>
            <m:rPr>
              <m:sty m:val="p"/>
            </m:rPr>
            <w:rPr>
              <w:rFonts w:ascii="Cambria Math" w:hAnsi="Cambria Math"/>
              <w:sz w:val="18"/>
              <w:szCs w:val="18"/>
              <w:lang w:val="id-ID"/>
            </w:rPr>
            <m:t>+</m:t>
          </m:r>
          <m:sSub>
            <m:sSubPr>
              <m:ctrlPr>
                <w:rPr>
                  <w:rFonts w:ascii="Cambria Math" w:hAnsi="Cambria Math"/>
                  <w:bCs/>
                  <w:iCs/>
                  <w:sz w:val="18"/>
                  <w:szCs w:val="18"/>
                  <w:lang w:val="id-ID"/>
                </w:rPr>
              </m:ctrlPr>
            </m:sSubPr>
            <m:e>
              <m:r>
                <m:rPr>
                  <m:sty m:val="p"/>
                </m:rPr>
                <w:rPr>
                  <w:rFonts w:ascii="Cambria Math" w:hAnsi="Cambria Math"/>
                  <w:sz w:val="18"/>
                  <w:szCs w:val="18"/>
                  <w:lang w:val="id-ID"/>
                </w:rPr>
                <m:t>β</m:t>
              </m:r>
            </m:e>
            <m:sub>
              <m:r>
                <m:rPr>
                  <m:sty m:val="p"/>
                </m:rPr>
                <w:rPr>
                  <w:rFonts w:ascii="Cambria Math" w:hAnsi="Cambria Math"/>
                  <w:sz w:val="18"/>
                  <w:szCs w:val="18"/>
                  <w:lang w:val="id-ID"/>
                </w:rPr>
                <m:t>1</m:t>
              </m:r>
            </m:sub>
          </m:sSub>
          <m:sSub>
            <m:sSubPr>
              <m:ctrlPr>
                <w:rPr>
                  <w:rFonts w:ascii="Cambria Math" w:hAnsi="Cambria Math"/>
                  <w:bCs/>
                  <w:iCs/>
                  <w:sz w:val="18"/>
                  <w:szCs w:val="18"/>
                  <w:lang w:val="id-ID"/>
                </w:rPr>
              </m:ctrlPr>
            </m:sSubPr>
            <m:e>
              <m:r>
                <m:rPr>
                  <m:sty m:val="p"/>
                </m:rPr>
                <w:rPr>
                  <w:rFonts w:ascii="Cambria Math" w:hAnsi="Cambria Math"/>
                  <w:sz w:val="18"/>
                  <w:szCs w:val="18"/>
                  <w:lang w:val="id-ID"/>
                </w:rPr>
                <m:t>ESG</m:t>
              </m:r>
            </m:e>
            <m:sub>
              <m:r>
                <m:rPr>
                  <m:sty m:val="p"/>
                </m:rPr>
                <w:rPr>
                  <w:rFonts w:ascii="Cambria Math" w:hAnsi="Cambria Math"/>
                  <w:sz w:val="18"/>
                  <w:szCs w:val="18"/>
                  <w:lang w:val="id-ID"/>
                </w:rPr>
                <m:t>it</m:t>
              </m:r>
            </m:sub>
          </m:sSub>
          <m:r>
            <m:rPr>
              <m:sty m:val="p"/>
            </m:rPr>
            <w:rPr>
              <w:rFonts w:ascii="Cambria Math" w:hAnsi="Cambria Math"/>
              <w:sz w:val="18"/>
              <w:szCs w:val="18"/>
              <w:lang w:val="id-ID"/>
            </w:rPr>
            <m:t xml:space="preserve"> + </m:t>
          </m:r>
          <m:sSub>
            <m:sSubPr>
              <m:ctrlPr>
                <w:rPr>
                  <w:rFonts w:ascii="Cambria Math" w:hAnsi="Cambria Math"/>
                  <w:bCs/>
                  <w:iCs/>
                  <w:sz w:val="18"/>
                  <w:szCs w:val="18"/>
                  <w:lang w:val="id-ID"/>
                </w:rPr>
              </m:ctrlPr>
            </m:sSubPr>
            <m:e>
              <m:r>
                <m:rPr>
                  <m:sty m:val="p"/>
                </m:rPr>
                <w:rPr>
                  <w:rFonts w:ascii="Cambria Math" w:hAnsi="Cambria Math"/>
                  <w:sz w:val="18"/>
                  <w:szCs w:val="18"/>
                  <w:lang w:val="id-ID"/>
                </w:rPr>
                <m:t>β</m:t>
              </m:r>
            </m:e>
            <m:sub>
              <m:r>
                <m:rPr>
                  <m:sty m:val="p"/>
                </m:rPr>
                <w:rPr>
                  <w:rFonts w:ascii="Cambria Math" w:hAnsi="Cambria Math"/>
                  <w:sz w:val="18"/>
                  <w:szCs w:val="18"/>
                  <w:lang w:val="id-ID"/>
                </w:rPr>
                <m:t>2</m:t>
              </m:r>
            </m:sub>
          </m:sSub>
          <m:sSub>
            <m:sSubPr>
              <m:ctrlPr>
                <w:rPr>
                  <w:rFonts w:ascii="Cambria Math" w:hAnsi="Cambria Math"/>
                  <w:bCs/>
                  <w:iCs/>
                  <w:sz w:val="18"/>
                  <w:szCs w:val="18"/>
                  <w:lang w:val="id-ID"/>
                </w:rPr>
              </m:ctrlPr>
            </m:sSubPr>
            <m:e>
              <m:r>
                <m:rPr>
                  <m:sty m:val="p"/>
                </m:rPr>
                <w:rPr>
                  <w:rFonts w:ascii="Cambria Math" w:hAnsi="Cambria Math"/>
                  <w:sz w:val="18"/>
                  <w:szCs w:val="18"/>
                  <w:lang w:val="id-ID"/>
                </w:rPr>
                <m:t>GB+</m:t>
              </m:r>
              <m:sSub>
                <m:sSubPr>
                  <m:ctrlPr>
                    <w:rPr>
                      <w:rFonts w:ascii="Cambria Math" w:hAnsi="Cambria Math"/>
                      <w:bCs/>
                      <w:iCs/>
                      <w:sz w:val="18"/>
                      <w:szCs w:val="18"/>
                      <w:lang w:val="id-ID"/>
                    </w:rPr>
                  </m:ctrlPr>
                </m:sSubPr>
                <m:e>
                  <m:r>
                    <m:rPr>
                      <m:sty m:val="p"/>
                    </m:rPr>
                    <w:rPr>
                      <w:rFonts w:ascii="Cambria Math" w:hAnsi="Cambria Math"/>
                      <w:sz w:val="18"/>
                      <w:szCs w:val="18"/>
                      <w:lang w:val="id-ID"/>
                    </w:rPr>
                    <m:t>β</m:t>
                  </m:r>
                </m:e>
                <m:sub>
                  <m:r>
                    <m:rPr>
                      <m:sty m:val="p"/>
                    </m:rPr>
                    <w:rPr>
                      <w:rFonts w:ascii="Cambria Math" w:hAnsi="Cambria Math"/>
                      <w:sz w:val="18"/>
                      <w:szCs w:val="18"/>
                      <w:lang w:val="id-ID"/>
                    </w:rPr>
                    <m:t>3</m:t>
                  </m:r>
                </m:sub>
              </m:sSub>
              <m:r>
                <m:rPr>
                  <m:sty m:val="p"/>
                </m:rPr>
                <w:rPr>
                  <w:rFonts w:ascii="Cambria Math" w:hAnsi="Cambria Math"/>
                  <w:sz w:val="18"/>
                  <w:szCs w:val="18"/>
                  <w:lang w:val="id-ID"/>
                </w:rPr>
                <m:t>GOV+</m:t>
              </m:r>
              <m:sSub>
                <m:sSubPr>
                  <m:ctrlPr>
                    <w:rPr>
                      <w:rFonts w:ascii="Cambria Math" w:hAnsi="Cambria Math"/>
                      <w:bCs/>
                      <w:iCs/>
                      <w:sz w:val="18"/>
                      <w:szCs w:val="18"/>
                      <w:lang w:val="id-ID"/>
                    </w:rPr>
                  </m:ctrlPr>
                </m:sSubPr>
                <m:e>
                  <m:r>
                    <m:rPr>
                      <m:sty m:val="p"/>
                    </m:rPr>
                    <w:rPr>
                      <w:rFonts w:ascii="Cambria Math" w:hAnsi="Cambria Math"/>
                      <w:sz w:val="18"/>
                      <w:szCs w:val="18"/>
                      <w:lang w:val="id-ID"/>
                    </w:rPr>
                    <m:t>β</m:t>
                  </m:r>
                </m:e>
                <m:sub>
                  <m:r>
                    <m:rPr>
                      <m:sty m:val="p"/>
                    </m:rPr>
                    <w:rPr>
                      <w:rFonts w:ascii="Cambria Math" w:hAnsi="Cambria Math"/>
                      <w:sz w:val="18"/>
                      <w:szCs w:val="18"/>
                      <w:lang w:val="id-ID"/>
                    </w:rPr>
                    <m:t>4</m:t>
                  </m:r>
                </m:sub>
              </m:sSub>
              <m:r>
                <m:rPr>
                  <m:sty m:val="p"/>
                </m:rPr>
                <w:rPr>
                  <w:rFonts w:ascii="Cambria Math" w:hAnsi="Cambria Math"/>
                  <w:sz w:val="18"/>
                  <w:szCs w:val="18"/>
                  <w:lang w:val="id-ID"/>
                </w:rPr>
                <m:t>ESG*GB+ β</m:t>
              </m:r>
              <m:sSub>
                <m:sSubPr>
                  <m:ctrlPr>
                    <w:rPr>
                      <w:rFonts w:ascii="Cambria Math" w:hAnsi="Cambria Math"/>
                      <w:bCs/>
                      <w:iCs/>
                      <w:sz w:val="18"/>
                      <w:szCs w:val="18"/>
                      <w:lang w:val="id-ID"/>
                    </w:rPr>
                  </m:ctrlPr>
                </m:sSubPr>
                <m:e/>
                <m:sub>
                  <m:r>
                    <m:rPr>
                      <m:sty m:val="p"/>
                    </m:rPr>
                    <w:rPr>
                      <w:rFonts w:ascii="Cambria Math" w:hAnsi="Cambria Math"/>
                      <w:sz w:val="18"/>
                      <w:szCs w:val="18"/>
                      <w:lang w:val="id-ID"/>
                    </w:rPr>
                    <m:t>5</m:t>
                  </m:r>
                </m:sub>
              </m:sSub>
              <m:r>
                <m:rPr>
                  <m:sty m:val="p"/>
                </m:rPr>
                <w:rPr>
                  <w:rFonts w:ascii="Cambria Math" w:hAnsi="Cambria Math"/>
                  <w:sz w:val="18"/>
                  <w:szCs w:val="18"/>
                  <w:lang w:val="id-ID"/>
                </w:rPr>
                <m:t>ESG*GOV+</m:t>
              </m:r>
              <m:sSub>
                <m:sSubPr>
                  <m:ctrlPr>
                    <w:rPr>
                      <w:rFonts w:ascii="Cambria Math" w:hAnsi="Cambria Math"/>
                      <w:bCs/>
                      <w:iCs/>
                      <w:sz w:val="18"/>
                      <w:szCs w:val="18"/>
                      <w:lang w:val="id-ID"/>
                    </w:rPr>
                  </m:ctrlPr>
                </m:sSubPr>
                <m:e>
                  <m:r>
                    <m:rPr>
                      <m:sty m:val="p"/>
                    </m:rPr>
                    <w:rPr>
                      <w:rFonts w:ascii="Cambria Math" w:hAnsi="Cambria Math"/>
                      <w:sz w:val="18"/>
                      <w:szCs w:val="18"/>
                      <w:lang w:val="id-ID"/>
                    </w:rPr>
                    <m:t>β</m:t>
                  </m:r>
                </m:e>
                <m:sub>
                  <m:r>
                    <m:rPr>
                      <m:sty m:val="p"/>
                    </m:rPr>
                    <w:rPr>
                      <w:rFonts w:ascii="Cambria Math" w:hAnsi="Cambria Math"/>
                      <w:sz w:val="18"/>
                      <w:szCs w:val="18"/>
                      <w:lang w:val="id-ID"/>
                    </w:rPr>
                    <m:t>6</m:t>
                  </m:r>
                </m:sub>
              </m:sSub>
              <m:r>
                <m:rPr>
                  <m:sty m:val="p"/>
                </m:rPr>
                <w:rPr>
                  <w:rFonts w:ascii="Cambria Math" w:hAnsi="Cambria Math"/>
                  <w:sz w:val="18"/>
                  <w:szCs w:val="18"/>
                  <w:lang w:val="id-ID"/>
                </w:rPr>
                <m:t>SIZE</m:t>
              </m:r>
            </m:e>
            <m:sub>
              <m:r>
                <m:rPr>
                  <m:sty m:val="p"/>
                </m:rPr>
                <w:rPr>
                  <w:rFonts w:ascii="Cambria Math" w:hAnsi="Cambria Math"/>
                  <w:sz w:val="18"/>
                  <w:szCs w:val="18"/>
                  <w:lang w:val="id-ID"/>
                </w:rPr>
                <m:t>it</m:t>
              </m:r>
            </m:sub>
          </m:sSub>
          <m:r>
            <m:rPr>
              <m:sty m:val="p"/>
            </m:rPr>
            <w:rPr>
              <w:rFonts w:ascii="Cambria Math" w:hAnsi="Cambria Math"/>
              <w:sz w:val="18"/>
              <w:szCs w:val="18"/>
              <w:lang w:val="id-ID"/>
            </w:rPr>
            <m:t>+ β</m:t>
          </m:r>
          <m:sSub>
            <m:sSubPr>
              <m:ctrlPr>
                <w:rPr>
                  <w:rFonts w:ascii="Cambria Math" w:hAnsi="Cambria Math"/>
                  <w:bCs/>
                  <w:iCs/>
                  <w:sz w:val="18"/>
                  <w:szCs w:val="18"/>
                  <w:lang w:val="id-ID"/>
                </w:rPr>
              </m:ctrlPr>
            </m:sSubPr>
            <m:e/>
            <m:sub>
              <m:r>
                <m:rPr>
                  <m:sty m:val="p"/>
                </m:rPr>
                <w:rPr>
                  <w:rFonts w:ascii="Cambria Math" w:hAnsi="Cambria Math"/>
                  <w:sz w:val="18"/>
                  <w:szCs w:val="18"/>
                  <w:lang w:val="id-ID"/>
                </w:rPr>
                <m:t>7</m:t>
              </m:r>
            </m:sub>
          </m:sSub>
          <m:sSub>
            <m:sSubPr>
              <m:ctrlPr>
                <w:rPr>
                  <w:rFonts w:ascii="Cambria Math" w:hAnsi="Cambria Math"/>
                  <w:bCs/>
                  <w:iCs/>
                  <w:sz w:val="18"/>
                  <w:szCs w:val="18"/>
                  <w:lang w:val="id-ID"/>
                </w:rPr>
              </m:ctrlPr>
            </m:sSubPr>
            <m:e>
              <m:r>
                <m:rPr>
                  <m:sty m:val="p"/>
                </m:rPr>
                <w:rPr>
                  <w:rFonts w:ascii="Cambria Math" w:hAnsi="Cambria Math"/>
                  <w:sz w:val="18"/>
                  <w:szCs w:val="18"/>
                  <w:lang w:val="id-ID"/>
                </w:rPr>
                <m:t>LEV</m:t>
              </m:r>
            </m:e>
            <m:sub>
              <m:r>
                <m:rPr>
                  <m:sty m:val="p"/>
                </m:rPr>
                <w:rPr>
                  <w:rFonts w:ascii="Cambria Math" w:hAnsi="Cambria Math"/>
                  <w:sz w:val="18"/>
                  <w:szCs w:val="18"/>
                  <w:lang w:val="id-ID"/>
                </w:rPr>
                <m:t>it</m:t>
              </m:r>
            </m:sub>
          </m:sSub>
          <m:r>
            <m:rPr>
              <m:sty m:val="p"/>
            </m:rPr>
            <w:rPr>
              <w:rFonts w:ascii="Cambria Math" w:hAnsi="Cambria Math"/>
              <w:sz w:val="18"/>
              <w:szCs w:val="18"/>
              <w:lang w:val="id-ID"/>
            </w:rPr>
            <m:t>+</m:t>
          </m:r>
          <m:sSub>
            <m:sSubPr>
              <m:ctrlPr>
                <w:rPr>
                  <w:rFonts w:ascii="Cambria Math" w:hAnsi="Cambria Math"/>
                  <w:bCs/>
                  <w:iCs/>
                  <w:sz w:val="18"/>
                  <w:szCs w:val="18"/>
                  <w:lang w:val="id-ID"/>
                </w:rPr>
              </m:ctrlPr>
            </m:sSubPr>
            <m:e>
              <m:sSub>
                <m:sSubPr>
                  <m:ctrlPr>
                    <w:rPr>
                      <w:rFonts w:ascii="Cambria Math" w:hAnsi="Cambria Math"/>
                      <w:bCs/>
                      <w:iCs/>
                      <w:sz w:val="18"/>
                      <w:szCs w:val="18"/>
                      <w:lang w:val="id-ID"/>
                    </w:rPr>
                  </m:ctrlPr>
                </m:sSubPr>
                <m:e>
                  <m:r>
                    <m:rPr>
                      <m:sty m:val="p"/>
                    </m:rPr>
                    <w:rPr>
                      <w:rFonts w:ascii="Cambria Math" w:hAnsi="Cambria Math"/>
                      <w:sz w:val="18"/>
                      <w:szCs w:val="18"/>
                      <w:lang w:val="id-ID"/>
                    </w:rPr>
                    <m:t>β</m:t>
                  </m:r>
                </m:e>
                <m:sub>
                  <m:r>
                    <m:rPr>
                      <m:sty m:val="p"/>
                    </m:rPr>
                    <w:rPr>
                      <w:rFonts w:ascii="Cambria Math" w:hAnsi="Cambria Math"/>
                      <w:sz w:val="18"/>
                      <w:szCs w:val="18"/>
                      <w:lang w:val="id-ID"/>
                    </w:rPr>
                    <m:t>8</m:t>
                  </m:r>
                </m:sub>
              </m:sSub>
              <m:sSub>
                <m:sSubPr>
                  <m:ctrlPr>
                    <w:rPr>
                      <w:rFonts w:ascii="Cambria Math" w:hAnsi="Cambria Math"/>
                      <w:bCs/>
                      <w:iCs/>
                      <w:sz w:val="18"/>
                      <w:szCs w:val="18"/>
                      <w:lang w:val="id-ID"/>
                    </w:rPr>
                  </m:ctrlPr>
                </m:sSubPr>
                <m:e>
                  <m:r>
                    <m:rPr>
                      <m:sty m:val="p"/>
                    </m:rPr>
                    <w:rPr>
                      <w:rFonts w:ascii="Cambria Math" w:hAnsi="Cambria Math"/>
                      <w:sz w:val="18"/>
                      <w:szCs w:val="18"/>
                      <w:lang w:val="id-ID"/>
                    </w:rPr>
                    <m:t>GDPG</m:t>
                  </m:r>
                </m:e>
                <m:sub>
                  <m:r>
                    <m:rPr>
                      <m:sty m:val="p"/>
                    </m:rPr>
                    <w:rPr>
                      <w:rFonts w:ascii="Cambria Math" w:hAnsi="Cambria Math"/>
                      <w:sz w:val="18"/>
                      <w:szCs w:val="18"/>
                      <w:lang w:val="id-ID"/>
                    </w:rPr>
                    <m:t xml:space="preserve">it  </m:t>
                  </m:r>
                </m:sub>
              </m:sSub>
              <m:sSub>
                <m:sSubPr>
                  <m:ctrlPr>
                    <w:rPr>
                      <w:rFonts w:ascii="Cambria Math" w:hAnsi="Cambria Math"/>
                      <w:bCs/>
                      <w:iCs/>
                      <w:sz w:val="18"/>
                      <w:szCs w:val="18"/>
                      <w:lang w:val="id-ID"/>
                    </w:rPr>
                  </m:ctrlPr>
                </m:sSubPr>
                <m:e>
                  <m:r>
                    <m:rPr>
                      <m:sty m:val="p"/>
                    </m:rPr>
                    <w:rPr>
                      <w:rFonts w:ascii="Cambria Math" w:hAnsi="Cambria Math"/>
                      <w:sz w:val="18"/>
                      <w:szCs w:val="18"/>
                      <w:lang w:val="id-ID"/>
                    </w:rPr>
                    <m:t>+ β</m:t>
                  </m:r>
                </m:e>
                <m:sub>
                  <m:r>
                    <m:rPr>
                      <m:sty m:val="p"/>
                    </m:rPr>
                    <w:rPr>
                      <w:rFonts w:ascii="Cambria Math" w:hAnsi="Cambria Math"/>
                      <w:sz w:val="18"/>
                      <w:szCs w:val="18"/>
                      <w:lang w:val="id-ID"/>
                    </w:rPr>
                    <m:t>9</m:t>
                  </m:r>
                </m:sub>
              </m:sSub>
              <m:sSub>
                <m:sSubPr>
                  <m:ctrlPr>
                    <w:rPr>
                      <w:rFonts w:ascii="Cambria Math" w:hAnsi="Cambria Math"/>
                      <w:bCs/>
                      <w:iCs/>
                      <w:sz w:val="18"/>
                      <w:szCs w:val="18"/>
                      <w:lang w:val="id-ID"/>
                    </w:rPr>
                  </m:ctrlPr>
                </m:sSubPr>
                <m:e>
                  <m:r>
                    <m:rPr>
                      <m:sty m:val="p"/>
                    </m:rPr>
                    <w:rPr>
                      <w:rFonts w:ascii="Cambria Math" w:hAnsi="Cambria Math"/>
                      <w:sz w:val="18"/>
                      <w:szCs w:val="18"/>
                      <w:lang w:val="id-ID"/>
                    </w:rPr>
                    <m:t>IND</m:t>
                  </m:r>
                </m:e>
                <m:sub>
                  <m:r>
                    <m:rPr>
                      <m:sty m:val="p"/>
                    </m:rPr>
                    <w:rPr>
                      <w:rFonts w:ascii="Cambria Math" w:hAnsi="Cambria Math"/>
                      <w:sz w:val="18"/>
                      <w:szCs w:val="18"/>
                      <w:lang w:val="id-ID"/>
                    </w:rPr>
                    <m:t>it</m:t>
                  </m:r>
                </m:sub>
              </m:sSub>
              <m:r>
                <m:rPr>
                  <m:sty m:val="p"/>
                </m:rPr>
                <w:rPr>
                  <w:rFonts w:ascii="Cambria Math" w:hAnsi="Cambria Math"/>
                  <w:sz w:val="18"/>
                  <w:szCs w:val="18"/>
                  <w:lang w:val="id-ID"/>
                </w:rPr>
                <m:t>+ε</m:t>
              </m:r>
            </m:e>
            <m:sub>
              <m:r>
                <m:rPr>
                  <m:sty m:val="p"/>
                </m:rPr>
                <w:rPr>
                  <w:rFonts w:ascii="Cambria Math" w:hAnsi="Cambria Math"/>
                  <w:sz w:val="18"/>
                  <w:szCs w:val="18"/>
                  <w:lang w:val="id-ID"/>
                </w:rPr>
                <m:t>it</m:t>
              </m:r>
            </m:sub>
          </m:sSub>
        </m:oMath>
      </m:oMathPara>
    </w:p>
    <w:p w14:paraId="6D77601F" w14:textId="0C087FD4" w:rsidR="0063637C" w:rsidRPr="0063637C" w:rsidRDefault="0063637C" w:rsidP="0063637C">
      <w:pPr>
        <w:spacing w:before="240" w:after="120"/>
        <w:ind w:left="2880" w:firstLine="720"/>
        <w:rPr>
          <w:szCs w:val="18"/>
        </w:rPr>
      </w:pPr>
      <w:r w:rsidRPr="0063637C">
        <w:rPr>
          <w:szCs w:val="18"/>
        </w:rPr>
        <w:t>(</w:t>
      </w:r>
      <w:r>
        <w:rPr>
          <w:szCs w:val="18"/>
        </w:rPr>
        <w:t>2</w:t>
      </w:r>
      <w:r w:rsidRPr="0063637C">
        <w:rPr>
          <w:szCs w:val="18"/>
        </w:rPr>
        <w:t>)</w:t>
      </w:r>
    </w:p>
    <w:p w14:paraId="1D6AA6DC" w14:textId="77777777" w:rsidR="00A83E39" w:rsidRDefault="00A83E39" w:rsidP="00A83E39">
      <w:pPr>
        <w:pStyle w:val="BodyTextIndent"/>
        <w:spacing w:after="120"/>
        <w:ind w:firstLine="0"/>
      </w:pPr>
    </w:p>
    <w:p w14:paraId="0F89B0F3" w14:textId="09E7D1DC" w:rsidR="00267305" w:rsidRDefault="00267305" w:rsidP="00A83E39">
      <w:pPr>
        <w:pStyle w:val="BodyTextIndent"/>
        <w:spacing w:after="120"/>
        <w:ind w:firstLine="0"/>
      </w:pPr>
      <w:r>
        <w:t>Where,</w:t>
      </w:r>
    </w:p>
    <w:p w14:paraId="69B40631" w14:textId="30560B95" w:rsidR="008B197E" w:rsidRDefault="00267305" w:rsidP="00267305">
      <w:pPr>
        <w:pStyle w:val="BodyTextIndent"/>
        <w:spacing w:after="120"/>
        <w:ind w:firstLine="0"/>
      </w:pPr>
      <w:r>
        <w:t>ROA = Return on Assets, RET = Stock Return, ESG = environmental, social, and governance, GB = dummy - green bond, GOV = percentage of government owned (SOE), SIZE = Total Assets, LEV = total debt / total assets, GDPG = GDP growth, IND = dummy industry, ε =</w:t>
      </w:r>
      <w:r>
        <w:rPr>
          <w:rFonts w:hint="eastAsia"/>
        </w:rPr>
        <w:t xml:space="preserve"> error term, </w:t>
      </w:r>
      <w:proofErr w:type="spellStart"/>
      <w:r>
        <w:rPr>
          <w:rFonts w:hint="eastAsia"/>
        </w:rPr>
        <w:t>i</w:t>
      </w:r>
      <w:proofErr w:type="spellEnd"/>
      <w:r>
        <w:rPr>
          <w:rFonts w:hint="eastAsia"/>
        </w:rPr>
        <w:t xml:space="preserve"> = company, t = annual reporting period, </w:t>
      </w:r>
      <w:r>
        <w:rPr>
          <w:rFonts w:hint="eastAsia"/>
        </w:rPr>
        <w:t>∝</w:t>
      </w:r>
      <w:r>
        <w:rPr>
          <w:rFonts w:hint="eastAsia"/>
        </w:rPr>
        <w:t xml:space="preserve">1 ... </w:t>
      </w:r>
      <w:r>
        <w:rPr>
          <w:rFonts w:hint="eastAsia"/>
        </w:rPr>
        <w:t>β</w:t>
      </w:r>
      <w:r>
        <w:rPr>
          <w:rFonts w:hint="eastAsia"/>
        </w:rPr>
        <w:t>9 = Regression coefficient.</w:t>
      </w:r>
    </w:p>
    <w:p w14:paraId="1F361046" w14:textId="77777777" w:rsidR="00397B11" w:rsidRDefault="00397B11" w:rsidP="00397B11">
      <w:pPr>
        <w:pStyle w:val="Heading2"/>
        <w:numPr>
          <w:ilvl w:val="0"/>
          <w:numId w:val="0"/>
        </w:numPr>
        <w:spacing w:before="120"/>
      </w:pPr>
    </w:p>
    <w:p w14:paraId="35A0F310" w14:textId="414BDB71" w:rsidR="00397B11" w:rsidRDefault="00397B11" w:rsidP="00397B11">
      <w:pPr>
        <w:pStyle w:val="Heading2"/>
        <w:numPr>
          <w:ilvl w:val="0"/>
          <w:numId w:val="0"/>
        </w:numPr>
        <w:spacing w:before="120"/>
        <w:ind w:left="360" w:hanging="360"/>
      </w:pPr>
      <w:r>
        <w:t xml:space="preserve">4. </w:t>
      </w:r>
      <w:r>
        <w:tab/>
        <w:t>EMPIRICAL RESULTS</w:t>
      </w:r>
    </w:p>
    <w:p w14:paraId="64AFE310" w14:textId="5A864944" w:rsidR="00397B11" w:rsidRDefault="00397B11" w:rsidP="00397B11">
      <w:pPr>
        <w:pStyle w:val="Heading2"/>
        <w:numPr>
          <w:ilvl w:val="0"/>
          <w:numId w:val="0"/>
        </w:numPr>
        <w:spacing w:before="120"/>
        <w:ind w:left="540" w:hanging="540"/>
      </w:pPr>
      <w:r>
        <w:t xml:space="preserve">4.1. </w:t>
      </w:r>
      <w:r>
        <w:tab/>
        <w:t>Descriptive Statistics</w:t>
      </w:r>
    </w:p>
    <w:p w14:paraId="0250FE0E" w14:textId="77777777" w:rsidR="00397B11" w:rsidRDefault="00397B11" w:rsidP="00397B11">
      <w:pPr>
        <w:spacing w:after="120"/>
      </w:pPr>
      <w:r>
        <w:t>Table 1 explains the descriptive statistics of the variables used in this study.</w:t>
      </w:r>
    </w:p>
    <w:p w14:paraId="0DD4A7B6" w14:textId="3B3108C7" w:rsidR="00397B11" w:rsidRPr="00C80BBE" w:rsidRDefault="00397B11" w:rsidP="00C80BBE">
      <w:pPr>
        <w:spacing w:after="120"/>
        <w:jc w:val="center"/>
        <w:rPr>
          <w:b/>
          <w:bCs/>
        </w:rPr>
      </w:pPr>
      <w:r w:rsidRPr="00C80BBE">
        <w:rPr>
          <w:b/>
          <w:bCs/>
        </w:rPr>
        <w:t>Table 1 Statistic Descriptive</w:t>
      </w:r>
    </w:p>
    <w:tbl>
      <w:tblPr>
        <w:tblW w:w="5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756"/>
        <w:gridCol w:w="756"/>
        <w:gridCol w:w="711"/>
        <w:gridCol w:w="711"/>
        <w:gridCol w:w="672"/>
        <w:gridCol w:w="486"/>
      </w:tblGrid>
      <w:tr w:rsidR="00C80BBE" w14:paraId="41782FAD" w14:textId="77777777" w:rsidTr="00C80BBE">
        <w:trPr>
          <w:tblHeader/>
          <w:jc w:val="center"/>
        </w:trPr>
        <w:tc>
          <w:tcPr>
            <w:tcW w:w="997" w:type="dxa"/>
            <w:tcBorders>
              <w:top w:val="single" w:sz="4" w:space="0" w:color="auto"/>
              <w:left w:val="single" w:sz="4" w:space="0" w:color="auto"/>
              <w:bottom w:val="single" w:sz="4" w:space="0" w:color="auto"/>
              <w:right w:val="single" w:sz="4" w:space="0" w:color="auto"/>
            </w:tcBorders>
            <w:vAlign w:val="center"/>
            <w:hideMark/>
          </w:tcPr>
          <w:p w14:paraId="39943E38" w14:textId="77777777" w:rsidR="00C80BBE" w:rsidRDefault="00C80BBE">
            <w:pPr>
              <w:spacing w:after="0"/>
              <w:jc w:val="center"/>
              <w:rPr>
                <w:b/>
                <w:bCs/>
                <w:sz w:val="22"/>
              </w:rPr>
            </w:pPr>
            <w:r>
              <w:rPr>
                <w:rFonts w:ascii="Arial" w:hAnsi="Arial" w:cs="Arial"/>
                <w:szCs w:val="18"/>
              </w:rPr>
              <w:br/>
            </w:r>
            <w:r>
              <w:rPr>
                <w:b/>
                <w:bCs/>
              </w:rPr>
              <w:t>Variable</w:t>
            </w:r>
          </w:p>
        </w:tc>
        <w:tc>
          <w:tcPr>
            <w:tcW w:w="756" w:type="dxa"/>
            <w:tcBorders>
              <w:top w:val="single" w:sz="4" w:space="0" w:color="auto"/>
              <w:left w:val="single" w:sz="4" w:space="0" w:color="auto"/>
              <w:bottom w:val="single" w:sz="4" w:space="0" w:color="auto"/>
              <w:right w:val="single" w:sz="4" w:space="0" w:color="auto"/>
            </w:tcBorders>
            <w:vAlign w:val="center"/>
            <w:hideMark/>
          </w:tcPr>
          <w:p w14:paraId="0723C4C9" w14:textId="77777777" w:rsidR="00C80BBE" w:rsidRDefault="00C80BBE">
            <w:pPr>
              <w:spacing w:after="0"/>
              <w:jc w:val="center"/>
              <w:rPr>
                <w:b/>
                <w:bCs/>
              </w:rPr>
            </w:pPr>
            <w:r>
              <w:rPr>
                <w:b/>
                <w:bCs/>
              </w:rPr>
              <w:t>Mean</w:t>
            </w:r>
          </w:p>
        </w:tc>
        <w:tc>
          <w:tcPr>
            <w:tcW w:w="756" w:type="dxa"/>
            <w:tcBorders>
              <w:top w:val="single" w:sz="4" w:space="0" w:color="auto"/>
              <w:left w:val="single" w:sz="4" w:space="0" w:color="auto"/>
              <w:bottom w:val="single" w:sz="4" w:space="0" w:color="auto"/>
              <w:right w:val="single" w:sz="4" w:space="0" w:color="auto"/>
            </w:tcBorders>
            <w:vAlign w:val="center"/>
            <w:hideMark/>
          </w:tcPr>
          <w:p w14:paraId="150497E8" w14:textId="77777777" w:rsidR="00C80BBE" w:rsidRDefault="00C80BBE">
            <w:pPr>
              <w:spacing w:after="0"/>
              <w:jc w:val="center"/>
              <w:rPr>
                <w:b/>
                <w:bCs/>
              </w:rPr>
            </w:pPr>
            <w:r>
              <w:rPr>
                <w:b/>
                <w:bCs/>
              </w:rPr>
              <w:t>Std. Dev.</w:t>
            </w:r>
          </w:p>
        </w:tc>
        <w:tc>
          <w:tcPr>
            <w:tcW w:w="711" w:type="dxa"/>
            <w:tcBorders>
              <w:top w:val="single" w:sz="4" w:space="0" w:color="auto"/>
              <w:left w:val="single" w:sz="4" w:space="0" w:color="auto"/>
              <w:bottom w:val="single" w:sz="4" w:space="0" w:color="auto"/>
              <w:right w:val="single" w:sz="4" w:space="0" w:color="auto"/>
            </w:tcBorders>
            <w:vAlign w:val="center"/>
            <w:hideMark/>
          </w:tcPr>
          <w:p w14:paraId="6C444A24" w14:textId="630D8EDA" w:rsidR="00C80BBE" w:rsidRDefault="00C80BBE">
            <w:pPr>
              <w:spacing w:after="0"/>
              <w:jc w:val="center"/>
              <w:rPr>
                <w:b/>
                <w:bCs/>
              </w:rPr>
            </w:pPr>
            <w:r>
              <w:rPr>
                <w:b/>
                <w:bCs/>
              </w:rPr>
              <w:t>Max.</w:t>
            </w:r>
          </w:p>
        </w:tc>
        <w:tc>
          <w:tcPr>
            <w:tcW w:w="711" w:type="dxa"/>
            <w:tcBorders>
              <w:top w:val="single" w:sz="4" w:space="0" w:color="auto"/>
              <w:left w:val="single" w:sz="4" w:space="0" w:color="auto"/>
              <w:bottom w:val="single" w:sz="4" w:space="0" w:color="auto"/>
              <w:right w:val="single" w:sz="4" w:space="0" w:color="auto"/>
            </w:tcBorders>
            <w:vAlign w:val="center"/>
            <w:hideMark/>
          </w:tcPr>
          <w:p w14:paraId="12DD3407" w14:textId="7B0569D6" w:rsidR="00C80BBE" w:rsidRDefault="00C80BBE">
            <w:pPr>
              <w:spacing w:after="0"/>
              <w:jc w:val="center"/>
              <w:rPr>
                <w:b/>
                <w:bCs/>
              </w:rPr>
            </w:pPr>
            <w:r>
              <w:rPr>
                <w:b/>
                <w:bCs/>
              </w:rPr>
              <w:t>Min.</w:t>
            </w:r>
          </w:p>
        </w:tc>
        <w:tc>
          <w:tcPr>
            <w:tcW w:w="672" w:type="dxa"/>
            <w:tcBorders>
              <w:top w:val="single" w:sz="4" w:space="0" w:color="auto"/>
              <w:left w:val="single" w:sz="4" w:space="0" w:color="auto"/>
              <w:bottom w:val="single" w:sz="4" w:space="0" w:color="auto"/>
              <w:right w:val="single" w:sz="4" w:space="0" w:color="auto"/>
            </w:tcBorders>
            <w:vAlign w:val="center"/>
            <w:hideMark/>
          </w:tcPr>
          <w:p w14:paraId="4B21A837" w14:textId="4B2E2A01" w:rsidR="00C80BBE" w:rsidRDefault="00C80BBE">
            <w:pPr>
              <w:spacing w:after="0"/>
              <w:jc w:val="center"/>
              <w:rPr>
                <w:b/>
                <w:bCs/>
              </w:rPr>
            </w:pPr>
            <w:r>
              <w:rPr>
                <w:b/>
                <w:bCs/>
              </w:rPr>
              <w:t>Skew.</w:t>
            </w:r>
          </w:p>
        </w:tc>
        <w:tc>
          <w:tcPr>
            <w:tcW w:w="486" w:type="dxa"/>
            <w:tcBorders>
              <w:top w:val="single" w:sz="4" w:space="0" w:color="auto"/>
              <w:left w:val="single" w:sz="4" w:space="0" w:color="auto"/>
              <w:bottom w:val="single" w:sz="4" w:space="0" w:color="auto"/>
              <w:right w:val="single" w:sz="4" w:space="0" w:color="auto"/>
            </w:tcBorders>
            <w:vAlign w:val="center"/>
            <w:hideMark/>
          </w:tcPr>
          <w:p w14:paraId="653F1E3E" w14:textId="77777777" w:rsidR="00C80BBE" w:rsidRDefault="00C80BBE">
            <w:pPr>
              <w:spacing w:after="0"/>
              <w:jc w:val="center"/>
              <w:rPr>
                <w:b/>
                <w:bCs/>
              </w:rPr>
            </w:pPr>
            <w:r>
              <w:rPr>
                <w:b/>
                <w:bCs/>
              </w:rPr>
              <w:t>N</w:t>
            </w:r>
          </w:p>
        </w:tc>
      </w:tr>
      <w:tr w:rsidR="00C80BBE" w14:paraId="319A870F" w14:textId="77777777" w:rsidTr="00C80BBE">
        <w:trPr>
          <w:jc w:val="center"/>
        </w:trPr>
        <w:tc>
          <w:tcPr>
            <w:tcW w:w="997" w:type="dxa"/>
            <w:tcBorders>
              <w:top w:val="single" w:sz="4" w:space="0" w:color="auto"/>
              <w:left w:val="single" w:sz="4" w:space="0" w:color="auto"/>
              <w:bottom w:val="single" w:sz="4" w:space="0" w:color="auto"/>
              <w:right w:val="nil"/>
            </w:tcBorders>
            <w:vAlign w:val="center"/>
            <w:hideMark/>
          </w:tcPr>
          <w:p w14:paraId="3AC9E30E" w14:textId="77777777" w:rsidR="00C80BBE" w:rsidRDefault="00C80BBE" w:rsidP="00C80BBE">
            <w:pPr>
              <w:autoSpaceDE w:val="0"/>
              <w:autoSpaceDN w:val="0"/>
              <w:adjustRightInd w:val="0"/>
              <w:spacing w:after="0"/>
              <w:jc w:val="left"/>
              <w:rPr>
                <w:b/>
                <w:bCs/>
                <w:color w:val="000000"/>
              </w:rPr>
            </w:pPr>
            <w:r>
              <w:rPr>
                <w:color w:val="000000"/>
              </w:rPr>
              <w:t>ROA (%)</w:t>
            </w:r>
          </w:p>
        </w:tc>
        <w:tc>
          <w:tcPr>
            <w:tcW w:w="756" w:type="dxa"/>
            <w:tcBorders>
              <w:top w:val="single" w:sz="4" w:space="0" w:color="auto"/>
              <w:left w:val="nil"/>
              <w:bottom w:val="single" w:sz="4" w:space="0" w:color="auto"/>
              <w:right w:val="nil"/>
            </w:tcBorders>
            <w:vAlign w:val="center"/>
            <w:hideMark/>
          </w:tcPr>
          <w:p w14:paraId="6E185671" w14:textId="77777777" w:rsidR="00C80BBE" w:rsidRDefault="00C80BBE">
            <w:pPr>
              <w:spacing w:after="0"/>
              <w:jc w:val="right"/>
              <w:rPr>
                <w:color w:val="000000"/>
              </w:rPr>
            </w:pPr>
            <w:r>
              <w:rPr>
                <w:color w:val="000000"/>
              </w:rPr>
              <w:t>5.028</w:t>
            </w:r>
          </w:p>
        </w:tc>
        <w:tc>
          <w:tcPr>
            <w:tcW w:w="756" w:type="dxa"/>
            <w:tcBorders>
              <w:top w:val="single" w:sz="4" w:space="0" w:color="auto"/>
              <w:left w:val="nil"/>
              <w:bottom w:val="single" w:sz="4" w:space="0" w:color="auto"/>
              <w:right w:val="nil"/>
            </w:tcBorders>
            <w:vAlign w:val="center"/>
            <w:hideMark/>
          </w:tcPr>
          <w:p w14:paraId="76832588" w14:textId="77777777" w:rsidR="00C80BBE" w:rsidRDefault="00C80BBE">
            <w:pPr>
              <w:autoSpaceDE w:val="0"/>
              <w:autoSpaceDN w:val="0"/>
              <w:adjustRightInd w:val="0"/>
              <w:spacing w:after="0"/>
              <w:jc w:val="right"/>
              <w:rPr>
                <w:color w:val="000000"/>
              </w:rPr>
            </w:pPr>
            <w:r>
              <w:rPr>
                <w:color w:val="000000"/>
              </w:rPr>
              <w:t>4.032</w:t>
            </w:r>
          </w:p>
        </w:tc>
        <w:tc>
          <w:tcPr>
            <w:tcW w:w="711" w:type="dxa"/>
            <w:tcBorders>
              <w:top w:val="single" w:sz="4" w:space="0" w:color="auto"/>
              <w:left w:val="nil"/>
              <w:bottom w:val="single" w:sz="4" w:space="0" w:color="auto"/>
              <w:right w:val="nil"/>
            </w:tcBorders>
            <w:vAlign w:val="center"/>
            <w:hideMark/>
          </w:tcPr>
          <w:p w14:paraId="2043C041" w14:textId="77777777" w:rsidR="00C80BBE" w:rsidRDefault="00C80BBE">
            <w:pPr>
              <w:spacing w:after="0"/>
              <w:jc w:val="right"/>
              <w:rPr>
                <w:color w:val="000000"/>
              </w:rPr>
            </w:pPr>
            <w:r>
              <w:rPr>
                <w:color w:val="000000"/>
              </w:rPr>
              <w:t>21.000</w:t>
            </w:r>
          </w:p>
        </w:tc>
        <w:tc>
          <w:tcPr>
            <w:tcW w:w="711" w:type="dxa"/>
            <w:tcBorders>
              <w:top w:val="single" w:sz="4" w:space="0" w:color="auto"/>
              <w:left w:val="nil"/>
              <w:bottom w:val="single" w:sz="4" w:space="0" w:color="auto"/>
              <w:right w:val="nil"/>
            </w:tcBorders>
            <w:vAlign w:val="center"/>
            <w:hideMark/>
          </w:tcPr>
          <w:p w14:paraId="62333C2D" w14:textId="77777777" w:rsidR="00C80BBE" w:rsidRDefault="00C80BBE">
            <w:pPr>
              <w:spacing w:after="0"/>
              <w:jc w:val="right"/>
              <w:rPr>
                <w:color w:val="000000"/>
              </w:rPr>
            </w:pPr>
            <w:r>
              <w:rPr>
                <w:color w:val="000000"/>
              </w:rPr>
              <w:t>7.000</w:t>
            </w:r>
          </w:p>
        </w:tc>
        <w:tc>
          <w:tcPr>
            <w:tcW w:w="672" w:type="dxa"/>
            <w:tcBorders>
              <w:top w:val="single" w:sz="4" w:space="0" w:color="auto"/>
              <w:left w:val="nil"/>
              <w:bottom w:val="single" w:sz="4" w:space="0" w:color="auto"/>
              <w:right w:val="nil"/>
            </w:tcBorders>
            <w:vAlign w:val="center"/>
            <w:hideMark/>
          </w:tcPr>
          <w:p w14:paraId="62987DE3" w14:textId="77777777" w:rsidR="00C80BBE" w:rsidRDefault="00C80BBE">
            <w:pPr>
              <w:spacing w:after="0"/>
              <w:jc w:val="right"/>
              <w:rPr>
                <w:color w:val="000000"/>
              </w:rPr>
            </w:pPr>
            <w:r>
              <w:rPr>
                <w:color w:val="000000"/>
              </w:rPr>
              <w:t>1.409</w:t>
            </w:r>
          </w:p>
        </w:tc>
        <w:tc>
          <w:tcPr>
            <w:tcW w:w="486" w:type="dxa"/>
            <w:tcBorders>
              <w:top w:val="single" w:sz="4" w:space="0" w:color="auto"/>
              <w:left w:val="nil"/>
              <w:bottom w:val="single" w:sz="4" w:space="0" w:color="auto"/>
              <w:right w:val="single" w:sz="4" w:space="0" w:color="auto"/>
            </w:tcBorders>
            <w:vAlign w:val="center"/>
            <w:hideMark/>
          </w:tcPr>
          <w:p w14:paraId="0F224AC1" w14:textId="77777777" w:rsidR="00C80BBE" w:rsidRDefault="00C80BBE">
            <w:pPr>
              <w:autoSpaceDE w:val="0"/>
              <w:autoSpaceDN w:val="0"/>
              <w:adjustRightInd w:val="0"/>
              <w:spacing w:after="0"/>
              <w:jc w:val="right"/>
              <w:rPr>
                <w:color w:val="000000"/>
              </w:rPr>
            </w:pPr>
            <w:r>
              <w:rPr>
                <w:color w:val="000000"/>
              </w:rPr>
              <w:t>249</w:t>
            </w:r>
          </w:p>
        </w:tc>
      </w:tr>
      <w:tr w:rsidR="00C80BBE" w14:paraId="0751D519" w14:textId="77777777" w:rsidTr="00C80BBE">
        <w:trPr>
          <w:jc w:val="center"/>
        </w:trPr>
        <w:tc>
          <w:tcPr>
            <w:tcW w:w="997" w:type="dxa"/>
            <w:tcBorders>
              <w:top w:val="single" w:sz="4" w:space="0" w:color="auto"/>
              <w:left w:val="single" w:sz="4" w:space="0" w:color="auto"/>
              <w:bottom w:val="single" w:sz="4" w:space="0" w:color="auto"/>
              <w:right w:val="nil"/>
            </w:tcBorders>
            <w:vAlign w:val="center"/>
            <w:hideMark/>
          </w:tcPr>
          <w:p w14:paraId="103C2617" w14:textId="77777777" w:rsidR="00C80BBE" w:rsidRDefault="00C80BBE" w:rsidP="00C80BBE">
            <w:pPr>
              <w:spacing w:after="0"/>
              <w:jc w:val="left"/>
            </w:pPr>
            <w:r>
              <w:rPr>
                <w:color w:val="000000"/>
              </w:rPr>
              <w:t>RET (%)</w:t>
            </w:r>
          </w:p>
        </w:tc>
        <w:tc>
          <w:tcPr>
            <w:tcW w:w="756" w:type="dxa"/>
            <w:tcBorders>
              <w:top w:val="single" w:sz="4" w:space="0" w:color="auto"/>
              <w:left w:val="nil"/>
              <w:bottom w:val="single" w:sz="4" w:space="0" w:color="auto"/>
              <w:right w:val="nil"/>
            </w:tcBorders>
            <w:vAlign w:val="center"/>
            <w:hideMark/>
          </w:tcPr>
          <w:p w14:paraId="6E8DF973" w14:textId="77777777" w:rsidR="00C80BBE" w:rsidRDefault="00C80BBE">
            <w:pPr>
              <w:spacing w:after="0"/>
              <w:jc w:val="right"/>
              <w:rPr>
                <w:rFonts w:eastAsia="Times New Roman"/>
                <w:color w:val="000000"/>
              </w:rPr>
            </w:pPr>
            <w:r>
              <w:rPr>
                <w:color w:val="000000"/>
              </w:rPr>
              <w:t>10.147</w:t>
            </w:r>
          </w:p>
        </w:tc>
        <w:tc>
          <w:tcPr>
            <w:tcW w:w="756" w:type="dxa"/>
            <w:tcBorders>
              <w:top w:val="single" w:sz="4" w:space="0" w:color="auto"/>
              <w:left w:val="nil"/>
              <w:bottom w:val="single" w:sz="4" w:space="0" w:color="auto"/>
              <w:right w:val="nil"/>
            </w:tcBorders>
            <w:vAlign w:val="center"/>
            <w:hideMark/>
          </w:tcPr>
          <w:p w14:paraId="53D945FC" w14:textId="77777777" w:rsidR="00C80BBE" w:rsidRDefault="00C80BBE">
            <w:pPr>
              <w:autoSpaceDE w:val="0"/>
              <w:autoSpaceDN w:val="0"/>
              <w:adjustRightInd w:val="0"/>
              <w:spacing w:after="0"/>
              <w:jc w:val="right"/>
              <w:rPr>
                <w:rFonts w:eastAsia="Times New Roman"/>
                <w:color w:val="000000"/>
              </w:rPr>
            </w:pPr>
            <w:r>
              <w:rPr>
                <w:color w:val="000000"/>
              </w:rPr>
              <w:t>15.473</w:t>
            </w:r>
          </w:p>
        </w:tc>
        <w:tc>
          <w:tcPr>
            <w:tcW w:w="711" w:type="dxa"/>
            <w:tcBorders>
              <w:top w:val="single" w:sz="4" w:space="0" w:color="auto"/>
              <w:left w:val="nil"/>
              <w:bottom w:val="single" w:sz="4" w:space="0" w:color="auto"/>
              <w:right w:val="nil"/>
            </w:tcBorders>
            <w:vAlign w:val="center"/>
            <w:hideMark/>
          </w:tcPr>
          <w:p w14:paraId="515EC5D6" w14:textId="77777777" w:rsidR="00C80BBE" w:rsidRDefault="00C80BBE">
            <w:pPr>
              <w:spacing w:after="0"/>
              <w:jc w:val="right"/>
              <w:rPr>
                <w:rFonts w:eastAsia="Times New Roman"/>
                <w:color w:val="000000"/>
              </w:rPr>
            </w:pPr>
            <w:r>
              <w:rPr>
                <w:color w:val="000000"/>
              </w:rPr>
              <w:t>86.500</w:t>
            </w:r>
          </w:p>
        </w:tc>
        <w:tc>
          <w:tcPr>
            <w:tcW w:w="711" w:type="dxa"/>
            <w:tcBorders>
              <w:top w:val="single" w:sz="4" w:space="0" w:color="auto"/>
              <w:left w:val="nil"/>
              <w:bottom w:val="single" w:sz="4" w:space="0" w:color="auto"/>
              <w:right w:val="nil"/>
            </w:tcBorders>
            <w:vAlign w:val="center"/>
            <w:hideMark/>
          </w:tcPr>
          <w:p w14:paraId="3BD89529" w14:textId="77777777" w:rsidR="00C80BBE" w:rsidRDefault="00C80BBE">
            <w:pPr>
              <w:spacing w:after="0"/>
              <w:jc w:val="right"/>
              <w:rPr>
                <w:rFonts w:eastAsia="Times New Roman"/>
                <w:color w:val="000000"/>
              </w:rPr>
            </w:pPr>
            <w:r>
              <w:rPr>
                <w:color w:val="000000"/>
              </w:rPr>
              <w:t>-68.400</w:t>
            </w:r>
          </w:p>
        </w:tc>
        <w:tc>
          <w:tcPr>
            <w:tcW w:w="672" w:type="dxa"/>
            <w:tcBorders>
              <w:top w:val="single" w:sz="4" w:space="0" w:color="auto"/>
              <w:left w:val="nil"/>
              <w:bottom w:val="single" w:sz="4" w:space="0" w:color="auto"/>
              <w:right w:val="nil"/>
            </w:tcBorders>
            <w:vAlign w:val="center"/>
            <w:hideMark/>
          </w:tcPr>
          <w:p w14:paraId="7EDF0761" w14:textId="77777777" w:rsidR="00C80BBE" w:rsidRDefault="00C80BBE">
            <w:pPr>
              <w:spacing w:after="0"/>
              <w:jc w:val="right"/>
              <w:rPr>
                <w:rFonts w:eastAsia="Times New Roman"/>
                <w:color w:val="000000"/>
              </w:rPr>
            </w:pPr>
            <w:r>
              <w:rPr>
                <w:color w:val="000000"/>
              </w:rPr>
              <w:t>0.461</w:t>
            </w:r>
          </w:p>
        </w:tc>
        <w:tc>
          <w:tcPr>
            <w:tcW w:w="486" w:type="dxa"/>
            <w:tcBorders>
              <w:top w:val="single" w:sz="4" w:space="0" w:color="auto"/>
              <w:left w:val="nil"/>
              <w:bottom w:val="single" w:sz="4" w:space="0" w:color="auto"/>
              <w:right w:val="single" w:sz="4" w:space="0" w:color="auto"/>
            </w:tcBorders>
            <w:vAlign w:val="center"/>
            <w:hideMark/>
          </w:tcPr>
          <w:p w14:paraId="4D2B0B00" w14:textId="77777777" w:rsidR="00C80BBE" w:rsidRDefault="00C80BBE">
            <w:pPr>
              <w:autoSpaceDE w:val="0"/>
              <w:autoSpaceDN w:val="0"/>
              <w:adjustRightInd w:val="0"/>
              <w:spacing w:after="0"/>
              <w:jc w:val="right"/>
              <w:rPr>
                <w:rFonts w:eastAsia="Times New Roman"/>
                <w:color w:val="000000"/>
              </w:rPr>
            </w:pPr>
            <w:r>
              <w:rPr>
                <w:color w:val="000000"/>
              </w:rPr>
              <w:t>249</w:t>
            </w:r>
          </w:p>
        </w:tc>
      </w:tr>
      <w:tr w:rsidR="00C80BBE" w14:paraId="41C9142E" w14:textId="77777777" w:rsidTr="00C80BBE">
        <w:trPr>
          <w:jc w:val="center"/>
        </w:trPr>
        <w:tc>
          <w:tcPr>
            <w:tcW w:w="997" w:type="dxa"/>
            <w:tcBorders>
              <w:top w:val="single" w:sz="4" w:space="0" w:color="auto"/>
              <w:left w:val="single" w:sz="4" w:space="0" w:color="auto"/>
              <w:bottom w:val="single" w:sz="4" w:space="0" w:color="auto"/>
              <w:right w:val="nil"/>
            </w:tcBorders>
            <w:vAlign w:val="center"/>
            <w:hideMark/>
          </w:tcPr>
          <w:p w14:paraId="6968C83E" w14:textId="77777777" w:rsidR="00C80BBE" w:rsidRDefault="00C80BBE" w:rsidP="00C80BBE">
            <w:pPr>
              <w:spacing w:after="0"/>
              <w:jc w:val="left"/>
              <w:rPr>
                <w:rFonts w:eastAsiaTheme="minorHAnsi"/>
                <w:color w:val="000000" w:themeColor="text1"/>
              </w:rPr>
            </w:pPr>
            <w:r>
              <w:rPr>
                <w:color w:val="000000" w:themeColor="text1"/>
              </w:rPr>
              <w:t xml:space="preserve">ESG index </w:t>
            </w:r>
          </w:p>
        </w:tc>
        <w:tc>
          <w:tcPr>
            <w:tcW w:w="756" w:type="dxa"/>
            <w:tcBorders>
              <w:top w:val="single" w:sz="4" w:space="0" w:color="auto"/>
              <w:left w:val="nil"/>
              <w:bottom w:val="single" w:sz="4" w:space="0" w:color="auto"/>
              <w:right w:val="nil"/>
            </w:tcBorders>
            <w:vAlign w:val="center"/>
            <w:hideMark/>
          </w:tcPr>
          <w:p w14:paraId="73D6DA25" w14:textId="38DBDE6C" w:rsidR="00C80BBE" w:rsidRDefault="00C80BBE">
            <w:pPr>
              <w:spacing w:after="0"/>
              <w:jc w:val="right"/>
              <w:rPr>
                <w:rFonts w:eastAsia="Times New Roman"/>
                <w:color w:val="000000"/>
              </w:rPr>
            </w:pPr>
            <w:r>
              <w:rPr>
                <w:color w:val="000000"/>
              </w:rPr>
              <w:t>2685</w:t>
            </w:r>
          </w:p>
        </w:tc>
        <w:tc>
          <w:tcPr>
            <w:tcW w:w="756" w:type="dxa"/>
            <w:tcBorders>
              <w:top w:val="single" w:sz="4" w:space="0" w:color="auto"/>
              <w:left w:val="nil"/>
              <w:bottom w:val="single" w:sz="4" w:space="0" w:color="auto"/>
              <w:right w:val="nil"/>
            </w:tcBorders>
            <w:vAlign w:val="center"/>
            <w:hideMark/>
          </w:tcPr>
          <w:p w14:paraId="6B5AC6EC" w14:textId="6FC0C77E" w:rsidR="00C80BBE" w:rsidRDefault="00C80BBE">
            <w:pPr>
              <w:spacing w:after="0"/>
              <w:jc w:val="right"/>
            </w:pPr>
            <w:r>
              <w:rPr>
                <w:color w:val="000000"/>
              </w:rPr>
              <w:t>1098</w:t>
            </w:r>
          </w:p>
        </w:tc>
        <w:tc>
          <w:tcPr>
            <w:tcW w:w="711" w:type="dxa"/>
            <w:tcBorders>
              <w:top w:val="single" w:sz="4" w:space="0" w:color="auto"/>
              <w:left w:val="nil"/>
              <w:bottom w:val="single" w:sz="4" w:space="0" w:color="auto"/>
              <w:right w:val="nil"/>
            </w:tcBorders>
            <w:vAlign w:val="center"/>
            <w:hideMark/>
          </w:tcPr>
          <w:p w14:paraId="148E4678" w14:textId="300B344F" w:rsidR="00C80BBE" w:rsidRDefault="00C80BBE">
            <w:pPr>
              <w:spacing w:after="0"/>
              <w:jc w:val="right"/>
            </w:pPr>
            <w:r>
              <w:rPr>
                <w:color w:val="000000"/>
              </w:rPr>
              <w:t>7062</w:t>
            </w:r>
          </w:p>
        </w:tc>
        <w:tc>
          <w:tcPr>
            <w:tcW w:w="711" w:type="dxa"/>
            <w:tcBorders>
              <w:top w:val="single" w:sz="4" w:space="0" w:color="auto"/>
              <w:left w:val="nil"/>
              <w:bottom w:val="single" w:sz="4" w:space="0" w:color="auto"/>
              <w:right w:val="nil"/>
            </w:tcBorders>
            <w:vAlign w:val="center"/>
            <w:hideMark/>
          </w:tcPr>
          <w:p w14:paraId="31323174" w14:textId="493A48FD" w:rsidR="00C80BBE" w:rsidRDefault="00C80BBE">
            <w:pPr>
              <w:spacing w:after="0"/>
              <w:jc w:val="right"/>
            </w:pPr>
            <w:r>
              <w:rPr>
                <w:color w:val="000000"/>
              </w:rPr>
              <w:t>976</w:t>
            </w:r>
          </w:p>
        </w:tc>
        <w:tc>
          <w:tcPr>
            <w:tcW w:w="672" w:type="dxa"/>
            <w:tcBorders>
              <w:top w:val="single" w:sz="4" w:space="0" w:color="auto"/>
              <w:left w:val="nil"/>
              <w:bottom w:val="single" w:sz="4" w:space="0" w:color="auto"/>
              <w:right w:val="nil"/>
            </w:tcBorders>
            <w:vAlign w:val="center"/>
            <w:hideMark/>
          </w:tcPr>
          <w:p w14:paraId="6D9FEA08" w14:textId="77777777" w:rsidR="00C80BBE" w:rsidRDefault="00C80BBE">
            <w:pPr>
              <w:spacing w:after="0"/>
              <w:jc w:val="right"/>
            </w:pPr>
            <w:r>
              <w:rPr>
                <w:color w:val="000000"/>
              </w:rPr>
              <w:t>1.179</w:t>
            </w:r>
          </w:p>
        </w:tc>
        <w:tc>
          <w:tcPr>
            <w:tcW w:w="486" w:type="dxa"/>
            <w:tcBorders>
              <w:top w:val="single" w:sz="4" w:space="0" w:color="auto"/>
              <w:left w:val="nil"/>
              <w:bottom w:val="single" w:sz="4" w:space="0" w:color="auto"/>
              <w:right w:val="single" w:sz="4" w:space="0" w:color="auto"/>
            </w:tcBorders>
            <w:vAlign w:val="center"/>
            <w:hideMark/>
          </w:tcPr>
          <w:p w14:paraId="2AE22C45" w14:textId="77777777" w:rsidR="00C80BBE" w:rsidRDefault="00C80BBE">
            <w:pPr>
              <w:spacing w:after="0"/>
              <w:jc w:val="right"/>
              <w:rPr>
                <w:color w:val="000000"/>
              </w:rPr>
            </w:pPr>
            <w:r>
              <w:rPr>
                <w:color w:val="000000"/>
              </w:rPr>
              <w:t>249</w:t>
            </w:r>
          </w:p>
        </w:tc>
      </w:tr>
      <w:tr w:rsidR="00C80BBE" w14:paraId="51464471" w14:textId="77777777" w:rsidTr="00C80BBE">
        <w:trPr>
          <w:jc w:val="center"/>
        </w:trPr>
        <w:tc>
          <w:tcPr>
            <w:tcW w:w="997" w:type="dxa"/>
            <w:tcBorders>
              <w:top w:val="single" w:sz="4" w:space="0" w:color="auto"/>
              <w:left w:val="single" w:sz="4" w:space="0" w:color="auto"/>
              <w:bottom w:val="single" w:sz="4" w:space="0" w:color="auto"/>
              <w:right w:val="nil"/>
            </w:tcBorders>
            <w:vAlign w:val="center"/>
            <w:hideMark/>
          </w:tcPr>
          <w:p w14:paraId="5A17FCA1" w14:textId="77777777" w:rsidR="00C80BBE" w:rsidRDefault="00C80BBE" w:rsidP="00C80BBE">
            <w:pPr>
              <w:spacing w:after="0"/>
              <w:jc w:val="left"/>
              <w:rPr>
                <w:color w:val="000000" w:themeColor="text1"/>
              </w:rPr>
            </w:pPr>
            <w:r>
              <w:rPr>
                <w:color w:val="000000" w:themeColor="text1"/>
              </w:rPr>
              <w:t>GB – dummy</w:t>
            </w:r>
          </w:p>
        </w:tc>
        <w:tc>
          <w:tcPr>
            <w:tcW w:w="756" w:type="dxa"/>
            <w:tcBorders>
              <w:top w:val="single" w:sz="4" w:space="0" w:color="auto"/>
              <w:left w:val="nil"/>
              <w:bottom w:val="single" w:sz="4" w:space="0" w:color="auto"/>
              <w:right w:val="nil"/>
            </w:tcBorders>
            <w:vAlign w:val="center"/>
            <w:hideMark/>
          </w:tcPr>
          <w:p w14:paraId="6543971C" w14:textId="77777777" w:rsidR="00C80BBE" w:rsidRDefault="00C80BBE">
            <w:pPr>
              <w:spacing w:after="0"/>
              <w:jc w:val="right"/>
            </w:pPr>
            <w:r>
              <w:t>0.040</w:t>
            </w:r>
          </w:p>
        </w:tc>
        <w:tc>
          <w:tcPr>
            <w:tcW w:w="756" w:type="dxa"/>
            <w:tcBorders>
              <w:top w:val="single" w:sz="4" w:space="0" w:color="auto"/>
              <w:left w:val="nil"/>
              <w:bottom w:val="single" w:sz="4" w:space="0" w:color="auto"/>
              <w:right w:val="nil"/>
            </w:tcBorders>
            <w:vAlign w:val="center"/>
            <w:hideMark/>
          </w:tcPr>
          <w:p w14:paraId="0C4DB057" w14:textId="77777777" w:rsidR="00C80BBE" w:rsidRDefault="00C80BBE">
            <w:pPr>
              <w:spacing w:after="0"/>
              <w:jc w:val="right"/>
            </w:pPr>
            <w:r>
              <w:t>0.197</w:t>
            </w:r>
          </w:p>
        </w:tc>
        <w:tc>
          <w:tcPr>
            <w:tcW w:w="711" w:type="dxa"/>
            <w:tcBorders>
              <w:top w:val="single" w:sz="4" w:space="0" w:color="auto"/>
              <w:left w:val="nil"/>
              <w:bottom w:val="single" w:sz="4" w:space="0" w:color="auto"/>
              <w:right w:val="nil"/>
            </w:tcBorders>
            <w:vAlign w:val="center"/>
            <w:hideMark/>
          </w:tcPr>
          <w:p w14:paraId="1B72A8BD" w14:textId="77777777" w:rsidR="00C80BBE" w:rsidRDefault="00C80BBE">
            <w:pPr>
              <w:autoSpaceDE w:val="0"/>
              <w:autoSpaceDN w:val="0"/>
              <w:adjustRightInd w:val="0"/>
              <w:spacing w:after="0"/>
              <w:jc w:val="right"/>
              <w:rPr>
                <w:rFonts w:eastAsia="Times New Roman"/>
                <w:color w:val="000000"/>
              </w:rPr>
            </w:pPr>
            <w:r>
              <w:rPr>
                <w:rFonts w:eastAsia="Times New Roman"/>
                <w:color w:val="000000"/>
              </w:rPr>
              <w:t>1.000</w:t>
            </w:r>
          </w:p>
        </w:tc>
        <w:tc>
          <w:tcPr>
            <w:tcW w:w="711" w:type="dxa"/>
            <w:tcBorders>
              <w:top w:val="single" w:sz="4" w:space="0" w:color="auto"/>
              <w:left w:val="nil"/>
              <w:bottom w:val="single" w:sz="4" w:space="0" w:color="auto"/>
              <w:right w:val="nil"/>
            </w:tcBorders>
            <w:vAlign w:val="center"/>
            <w:hideMark/>
          </w:tcPr>
          <w:p w14:paraId="18C017CE" w14:textId="77777777" w:rsidR="00C80BBE" w:rsidRDefault="00C80BBE">
            <w:pPr>
              <w:autoSpaceDE w:val="0"/>
              <w:autoSpaceDN w:val="0"/>
              <w:adjustRightInd w:val="0"/>
              <w:spacing w:after="0"/>
              <w:jc w:val="right"/>
              <w:rPr>
                <w:rFonts w:eastAsiaTheme="minorHAnsi"/>
                <w:color w:val="000000"/>
              </w:rPr>
            </w:pPr>
            <w:r>
              <w:rPr>
                <w:color w:val="000000"/>
              </w:rPr>
              <w:t>0.000</w:t>
            </w:r>
          </w:p>
        </w:tc>
        <w:tc>
          <w:tcPr>
            <w:tcW w:w="672" w:type="dxa"/>
            <w:tcBorders>
              <w:top w:val="single" w:sz="4" w:space="0" w:color="auto"/>
              <w:left w:val="nil"/>
              <w:bottom w:val="single" w:sz="4" w:space="0" w:color="auto"/>
              <w:right w:val="nil"/>
            </w:tcBorders>
            <w:vAlign w:val="center"/>
            <w:hideMark/>
          </w:tcPr>
          <w:p w14:paraId="1C5DF5B5" w14:textId="77777777" w:rsidR="00C80BBE" w:rsidRDefault="00C80BBE">
            <w:pPr>
              <w:spacing w:after="0"/>
              <w:jc w:val="right"/>
            </w:pPr>
            <w:r>
              <w:t>4.684</w:t>
            </w:r>
          </w:p>
        </w:tc>
        <w:tc>
          <w:tcPr>
            <w:tcW w:w="486" w:type="dxa"/>
            <w:tcBorders>
              <w:top w:val="single" w:sz="4" w:space="0" w:color="auto"/>
              <w:left w:val="nil"/>
              <w:bottom w:val="single" w:sz="4" w:space="0" w:color="auto"/>
              <w:right w:val="single" w:sz="4" w:space="0" w:color="auto"/>
            </w:tcBorders>
            <w:vAlign w:val="center"/>
            <w:hideMark/>
          </w:tcPr>
          <w:p w14:paraId="5BA7D940" w14:textId="77777777" w:rsidR="00C80BBE" w:rsidRDefault="00C80BBE">
            <w:pPr>
              <w:spacing w:after="0"/>
              <w:jc w:val="right"/>
              <w:rPr>
                <w:color w:val="000000"/>
              </w:rPr>
            </w:pPr>
            <w:r>
              <w:rPr>
                <w:color w:val="000000"/>
              </w:rPr>
              <w:t>249</w:t>
            </w:r>
          </w:p>
        </w:tc>
      </w:tr>
      <w:tr w:rsidR="00C80BBE" w14:paraId="23AC0D7D" w14:textId="77777777" w:rsidTr="00C80BBE">
        <w:trPr>
          <w:jc w:val="center"/>
        </w:trPr>
        <w:tc>
          <w:tcPr>
            <w:tcW w:w="997" w:type="dxa"/>
            <w:tcBorders>
              <w:top w:val="single" w:sz="4" w:space="0" w:color="auto"/>
              <w:left w:val="single" w:sz="4" w:space="0" w:color="auto"/>
              <w:bottom w:val="single" w:sz="4" w:space="0" w:color="auto"/>
              <w:right w:val="nil"/>
            </w:tcBorders>
            <w:vAlign w:val="center"/>
            <w:hideMark/>
          </w:tcPr>
          <w:p w14:paraId="0FBC74E0" w14:textId="77777777" w:rsidR="00C80BBE" w:rsidRDefault="00C80BBE" w:rsidP="00C80BBE">
            <w:pPr>
              <w:spacing w:after="0"/>
              <w:jc w:val="left"/>
            </w:pPr>
            <w:r>
              <w:t>GOV/SOE (%)</w:t>
            </w:r>
          </w:p>
        </w:tc>
        <w:tc>
          <w:tcPr>
            <w:tcW w:w="756" w:type="dxa"/>
            <w:tcBorders>
              <w:top w:val="single" w:sz="4" w:space="0" w:color="auto"/>
              <w:left w:val="nil"/>
              <w:bottom w:val="single" w:sz="4" w:space="0" w:color="auto"/>
              <w:right w:val="nil"/>
            </w:tcBorders>
            <w:vAlign w:val="center"/>
            <w:hideMark/>
          </w:tcPr>
          <w:p w14:paraId="4BDC7656" w14:textId="77777777" w:rsidR="00C80BBE" w:rsidRDefault="00C80BBE">
            <w:pPr>
              <w:spacing w:after="0"/>
              <w:jc w:val="right"/>
              <w:rPr>
                <w:rFonts w:eastAsia="Times New Roman"/>
                <w:color w:val="000000"/>
              </w:rPr>
            </w:pPr>
            <w:r>
              <w:rPr>
                <w:rFonts w:eastAsia="Times New Roman"/>
                <w:color w:val="000000"/>
              </w:rPr>
              <w:t>15.989</w:t>
            </w:r>
          </w:p>
        </w:tc>
        <w:tc>
          <w:tcPr>
            <w:tcW w:w="756" w:type="dxa"/>
            <w:tcBorders>
              <w:top w:val="single" w:sz="4" w:space="0" w:color="auto"/>
              <w:left w:val="nil"/>
              <w:bottom w:val="single" w:sz="4" w:space="0" w:color="auto"/>
              <w:right w:val="nil"/>
            </w:tcBorders>
            <w:vAlign w:val="center"/>
            <w:hideMark/>
          </w:tcPr>
          <w:p w14:paraId="2574465C" w14:textId="77777777" w:rsidR="00C80BBE" w:rsidRDefault="00C80BBE">
            <w:pPr>
              <w:spacing w:after="0"/>
              <w:jc w:val="right"/>
              <w:rPr>
                <w:rFonts w:eastAsia="Times New Roman"/>
                <w:color w:val="000000"/>
              </w:rPr>
            </w:pPr>
            <w:r>
              <w:rPr>
                <w:rFonts w:eastAsia="Times New Roman"/>
                <w:color w:val="000000"/>
              </w:rPr>
              <w:t>23.627</w:t>
            </w:r>
          </w:p>
        </w:tc>
        <w:tc>
          <w:tcPr>
            <w:tcW w:w="711" w:type="dxa"/>
            <w:tcBorders>
              <w:top w:val="single" w:sz="4" w:space="0" w:color="auto"/>
              <w:left w:val="nil"/>
              <w:bottom w:val="single" w:sz="4" w:space="0" w:color="auto"/>
              <w:right w:val="nil"/>
            </w:tcBorders>
            <w:vAlign w:val="center"/>
            <w:hideMark/>
          </w:tcPr>
          <w:p w14:paraId="78BBFC5A" w14:textId="77777777" w:rsidR="00C80BBE" w:rsidRDefault="00C80BBE">
            <w:pPr>
              <w:autoSpaceDE w:val="0"/>
              <w:autoSpaceDN w:val="0"/>
              <w:adjustRightInd w:val="0"/>
              <w:spacing w:after="0"/>
              <w:jc w:val="right"/>
              <w:rPr>
                <w:rFonts w:eastAsia="Times New Roman"/>
                <w:color w:val="000000"/>
              </w:rPr>
            </w:pPr>
            <w:r>
              <w:rPr>
                <w:rFonts w:eastAsia="Times New Roman"/>
                <w:color w:val="000000"/>
              </w:rPr>
              <w:t>70.000</w:t>
            </w:r>
          </w:p>
        </w:tc>
        <w:tc>
          <w:tcPr>
            <w:tcW w:w="711" w:type="dxa"/>
            <w:tcBorders>
              <w:top w:val="single" w:sz="4" w:space="0" w:color="auto"/>
              <w:left w:val="nil"/>
              <w:bottom w:val="single" w:sz="4" w:space="0" w:color="auto"/>
              <w:right w:val="nil"/>
            </w:tcBorders>
            <w:vAlign w:val="center"/>
            <w:hideMark/>
          </w:tcPr>
          <w:p w14:paraId="5ECD0D18" w14:textId="77777777" w:rsidR="00C80BBE" w:rsidRDefault="00C80BBE">
            <w:pPr>
              <w:autoSpaceDE w:val="0"/>
              <w:autoSpaceDN w:val="0"/>
              <w:adjustRightInd w:val="0"/>
              <w:spacing w:after="0"/>
              <w:jc w:val="right"/>
              <w:rPr>
                <w:rFonts w:eastAsia="Times New Roman"/>
                <w:color w:val="000000"/>
              </w:rPr>
            </w:pPr>
            <w:r>
              <w:rPr>
                <w:rFonts w:eastAsia="Times New Roman"/>
                <w:color w:val="000000"/>
              </w:rPr>
              <w:t>0.000</w:t>
            </w:r>
          </w:p>
        </w:tc>
        <w:tc>
          <w:tcPr>
            <w:tcW w:w="672" w:type="dxa"/>
            <w:tcBorders>
              <w:top w:val="single" w:sz="4" w:space="0" w:color="auto"/>
              <w:left w:val="nil"/>
              <w:bottom w:val="single" w:sz="4" w:space="0" w:color="auto"/>
              <w:right w:val="nil"/>
            </w:tcBorders>
            <w:vAlign w:val="center"/>
            <w:hideMark/>
          </w:tcPr>
          <w:p w14:paraId="7B7C2A0E" w14:textId="77777777" w:rsidR="00C80BBE" w:rsidRDefault="00C80BBE">
            <w:pPr>
              <w:autoSpaceDE w:val="0"/>
              <w:autoSpaceDN w:val="0"/>
              <w:adjustRightInd w:val="0"/>
              <w:spacing w:after="0"/>
              <w:jc w:val="right"/>
              <w:rPr>
                <w:rFonts w:eastAsia="Times New Roman"/>
                <w:color w:val="000000"/>
              </w:rPr>
            </w:pPr>
            <w:r>
              <w:rPr>
                <w:rFonts w:eastAsia="Times New Roman"/>
                <w:color w:val="000000"/>
              </w:rPr>
              <w:t>1.028</w:t>
            </w:r>
          </w:p>
        </w:tc>
        <w:tc>
          <w:tcPr>
            <w:tcW w:w="486" w:type="dxa"/>
            <w:tcBorders>
              <w:top w:val="single" w:sz="4" w:space="0" w:color="auto"/>
              <w:left w:val="nil"/>
              <w:bottom w:val="single" w:sz="4" w:space="0" w:color="auto"/>
              <w:right w:val="single" w:sz="4" w:space="0" w:color="auto"/>
            </w:tcBorders>
            <w:vAlign w:val="center"/>
            <w:hideMark/>
          </w:tcPr>
          <w:p w14:paraId="65666135" w14:textId="77777777" w:rsidR="00C80BBE" w:rsidRDefault="00C80BBE">
            <w:pPr>
              <w:spacing w:after="0"/>
              <w:jc w:val="right"/>
              <w:rPr>
                <w:rFonts w:eastAsia="Times New Roman"/>
                <w:color w:val="000000"/>
              </w:rPr>
            </w:pPr>
            <w:r>
              <w:rPr>
                <w:color w:val="000000"/>
              </w:rPr>
              <w:t>249</w:t>
            </w:r>
          </w:p>
        </w:tc>
      </w:tr>
      <w:tr w:rsidR="00C80BBE" w14:paraId="16C60AA0" w14:textId="77777777" w:rsidTr="00C80BBE">
        <w:trPr>
          <w:jc w:val="center"/>
        </w:trPr>
        <w:tc>
          <w:tcPr>
            <w:tcW w:w="997" w:type="dxa"/>
            <w:tcBorders>
              <w:top w:val="single" w:sz="4" w:space="0" w:color="auto"/>
              <w:left w:val="single" w:sz="4" w:space="0" w:color="auto"/>
              <w:bottom w:val="single" w:sz="4" w:space="0" w:color="auto"/>
              <w:right w:val="nil"/>
            </w:tcBorders>
            <w:vAlign w:val="center"/>
            <w:hideMark/>
          </w:tcPr>
          <w:p w14:paraId="1A8E4915" w14:textId="77777777" w:rsidR="00C80BBE" w:rsidRDefault="00C80BBE" w:rsidP="00C80BBE">
            <w:pPr>
              <w:spacing w:after="0"/>
              <w:jc w:val="left"/>
              <w:rPr>
                <w:rFonts w:eastAsiaTheme="minorHAnsi"/>
              </w:rPr>
            </w:pPr>
            <w:r>
              <w:t>SIZE (USD billion)</w:t>
            </w:r>
          </w:p>
        </w:tc>
        <w:tc>
          <w:tcPr>
            <w:tcW w:w="756" w:type="dxa"/>
            <w:tcBorders>
              <w:top w:val="single" w:sz="4" w:space="0" w:color="auto"/>
              <w:left w:val="nil"/>
              <w:bottom w:val="single" w:sz="4" w:space="0" w:color="auto"/>
              <w:right w:val="nil"/>
            </w:tcBorders>
            <w:vAlign w:val="center"/>
            <w:hideMark/>
          </w:tcPr>
          <w:p w14:paraId="5F9667D8" w14:textId="77777777" w:rsidR="00C80BBE" w:rsidRDefault="00C80BBE">
            <w:pPr>
              <w:spacing w:after="0"/>
              <w:jc w:val="right"/>
              <w:rPr>
                <w:rFonts w:eastAsia="Times New Roman"/>
                <w:color w:val="000000"/>
              </w:rPr>
            </w:pPr>
            <w:r>
              <w:rPr>
                <w:rFonts w:eastAsia="Times New Roman"/>
                <w:color w:val="000000"/>
              </w:rPr>
              <w:t>12,134</w:t>
            </w:r>
          </w:p>
        </w:tc>
        <w:tc>
          <w:tcPr>
            <w:tcW w:w="756" w:type="dxa"/>
            <w:tcBorders>
              <w:top w:val="single" w:sz="4" w:space="0" w:color="auto"/>
              <w:left w:val="nil"/>
              <w:bottom w:val="single" w:sz="4" w:space="0" w:color="auto"/>
              <w:right w:val="nil"/>
            </w:tcBorders>
            <w:vAlign w:val="center"/>
            <w:hideMark/>
          </w:tcPr>
          <w:p w14:paraId="234524DD" w14:textId="77777777" w:rsidR="00C80BBE" w:rsidRDefault="00C80BBE">
            <w:pPr>
              <w:spacing w:after="0"/>
              <w:jc w:val="right"/>
              <w:rPr>
                <w:rFonts w:eastAsia="Times New Roman"/>
                <w:color w:val="000000"/>
              </w:rPr>
            </w:pPr>
            <w:r>
              <w:rPr>
                <w:rFonts w:eastAsia="Times New Roman"/>
                <w:color w:val="000000"/>
              </w:rPr>
              <w:t>21,949</w:t>
            </w:r>
          </w:p>
        </w:tc>
        <w:tc>
          <w:tcPr>
            <w:tcW w:w="711" w:type="dxa"/>
            <w:tcBorders>
              <w:top w:val="single" w:sz="4" w:space="0" w:color="auto"/>
              <w:left w:val="nil"/>
              <w:bottom w:val="single" w:sz="4" w:space="0" w:color="auto"/>
              <w:right w:val="nil"/>
            </w:tcBorders>
            <w:vAlign w:val="center"/>
            <w:hideMark/>
          </w:tcPr>
          <w:p w14:paraId="2EA3E47D" w14:textId="77777777" w:rsidR="00C80BBE" w:rsidRDefault="00C80BBE">
            <w:pPr>
              <w:autoSpaceDE w:val="0"/>
              <w:autoSpaceDN w:val="0"/>
              <w:adjustRightInd w:val="0"/>
              <w:spacing w:after="0"/>
              <w:jc w:val="right"/>
              <w:rPr>
                <w:rFonts w:eastAsia="Times New Roman"/>
                <w:color w:val="000000"/>
              </w:rPr>
            </w:pPr>
            <w:r>
              <w:rPr>
                <w:rFonts w:eastAsia="Times New Roman"/>
                <w:color w:val="000000"/>
              </w:rPr>
              <w:t>99,437</w:t>
            </w:r>
          </w:p>
        </w:tc>
        <w:tc>
          <w:tcPr>
            <w:tcW w:w="711" w:type="dxa"/>
            <w:tcBorders>
              <w:top w:val="single" w:sz="4" w:space="0" w:color="auto"/>
              <w:left w:val="nil"/>
              <w:bottom w:val="single" w:sz="4" w:space="0" w:color="auto"/>
              <w:right w:val="nil"/>
            </w:tcBorders>
            <w:vAlign w:val="center"/>
            <w:hideMark/>
          </w:tcPr>
          <w:p w14:paraId="60815DB5" w14:textId="77777777" w:rsidR="00C80BBE" w:rsidRDefault="00C80BBE">
            <w:pPr>
              <w:autoSpaceDE w:val="0"/>
              <w:autoSpaceDN w:val="0"/>
              <w:adjustRightInd w:val="0"/>
              <w:spacing w:after="0"/>
              <w:jc w:val="right"/>
              <w:rPr>
                <w:rFonts w:eastAsia="Times New Roman"/>
                <w:color w:val="000000"/>
              </w:rPr>
            </w:pPr>
            <w:r>
              <w:rPr>
                <w:rFonts w:eastAsia="Times New Roman"/>
                <w:color w:val="000000"/>
              </w:rPr>
              <w:t>1,034</w:t>
            </w:r>
          </w:p>
        </w:tc>
        <w:tc>
          <w:tcPr>
            <w:tcW w:w="672" w:type="dxa"/>
            <w:tcBorders>
              <w:top w:val="single" w:sz="4" w:space="0" w:color="auto"/>
              <w:left w:val="nil"/>
              <w:bottom w:val="single" w:sz="4" w:space="0" w:color="auto"/>
              <w:right w:val="nil"/>
            </w:tcBorders>
            <w:vAlign w:val="center"/>
            <w:hideMark/>
          </w:tcPr>
          <w:p w14:paraId="5DF4E1D6" w14:textId="77777777" w:rsidR="00C80BBE" w:rsidRDefault="00C80BBE">
            <w:pPr>
              <w:autoSpaceDE w:val="0"/>
              <w:autoSpaceDN w:val="0"/>
              <w:adjustRightInd w:val="0"/>
              <w:spacing w:after="0"/>
              <w:jc w:val="right"/>
              <w:rPr>
                <w:rFonts w:eastAsia="Times New Roman"/>
                <w:color w:val="000000"/>
              </w:rPr>
            </w:pPr>
            <w:r>
              <w:rPr>
                <w:rFonts w:eastAsia="Times New Roman"/>
                <w:color w:val="000000"/>
              </w:rPr>
              <w:t>2.635</w:t>
            </w:r>
          </w:p>
        </w:tc>
        <w:tc>
          <w:tcPr>
            <w:tcW w:w="486" w:type="dxa"/>
            <w:tcBorders>
              <w:top w:val="single" w:sz="4" w:space="0" w:color="auto"/>
              <w:left w:val="nil"/>
              <w:bottom w:val="single" w:sz="4" w:space="0" w:color="auto"/>
              <w:right w:val="single" w:sz="4" w:space="0" w:color="auto"/>
            </w:tcBorders>
            <w:vAlign w:val="center"/>
            <w:hideMark/>
          </w:tcPr>
          <w:p w14:paraId="1688BCF7" w14:textId="77777777" w:rsidR="00C80BBE" w:rsidRDefault="00C80BBE">
            <w:pPr>
              <w:spacing w:after="0"/>
              <w:jc w:val="right"/>
              <w:rPr>
                <w:rFonts w:eastAsia="Times New Roman"/>
                <w:color w:val="000000"/>
              </w:rPr>
            </w:pPr>
            <w:r>
              <w:rPr>
                <w:color w:val="000000"/>
              </w:rPr>
              <w:t>249</w:t>
            </w:r>
          </w:p>
        </w:tc>
      </w:tr>
      <w:tr w:rsidR="00C80BBE" w14:paraId="5201BDF9" w14:textId="77777777" w:rsidTr="00C80BBE">
        <w:trPr>
          <w:jc w:val="center"/>
        </w:trPr>
        <w:tc>
          <w:tcPr>
            <w:tcW w:w="997" w:type="dxa"/>
            <w:tcBorders>
              <w:top w:val="single" w:sz="4" w:space="0" w:color="auto"/>
              <w:left w:val="single" w:sz="4" w:space="0" w:color="auto"/>
              <w:bottom w:val="single" w:sz="4" w:space="0" w:color="auto"/>
              <w:right w:val="nil"/>
            </w:tcBorders>
            <w:vAlign w:val="center"/>
            <w:hideMark/>
          </w:tcPr>
          <w:p w14:paraId="46926D1F" w14:textId="77777777" w:rsidR="00C80BBE" w:rsidRDefault="00C80BBE" w:rsidP="00C80BBE">
            <w:pPr>
              <w:spacing w:after="0"/>
              <w:jc w:val="left"/>
              <w:rPr>
                <w:rFonts w:eastAsiaTheme="minorHAnsi"/>
              </w:rPr>
            </w:pPr>
            <w:r>
              <w:t xml:space="preserve">LEV </w:t>
            </w:r>
            <w:r>
              <w:rPr>
                <w:color w:val="000000"/>
              </w:rPr>
              <w:t>(%)</w:t>
            </w:r>
          </w:p>
        </w:tc>
        <w:tc>
          <w:tcPr>
            <w:tcW w:w="756" w:type="dxa"/>
            <w:tcBorders>
              <w:top w:val="single" w:sz="4" w:space="0" w:color="auto"/>
              <w:left w:val="nil"/>
              <w:bottom w:val="single" w:sz="4" w:space="0" w:color="auto"/>
              <w:right w:val="nil"/>
            </w:tcBorders>
            <w:vAlign w:val="center"/>
            <w:hideMark/>
          </w:tcPr>
          <w:p w14:paraId="7A7125A9" w14:textId="77777777" w:rsidR="00C80BBE" w:rsidRDefault="00C80BBE">
            <w:pPr>
              <w:spacing w:after="0"/>
              <w:jc w:val="right"/>
            </w:pPr>
            <w:r>
              <w:rPr>
                <w:color w:val="000000"/>
              </w:rPr>
              <w:t> 44.149</w:t>
            </w:r>
          </w:p>
        </w:tc>
        <w:tc>
          <w:tcPr>
            <w:tcW w:w="756" w:type="dxa"/>
            <w:tcBorders>
              <w:top w:val="single" w:sz="4" w:space="0" w:color="auto"/>
              <w:left w:val="nil"/>
              <w:bottom w:val="single" w:sz="4" w:space="0" w:color="auto"/>
              <w:right w:val="nil"/>
            </w:tcBorders>
            <w:vAlign w:val="center"/>
            <w:hideMark/>
          </w:tcPr>
          <w:p w14:paraId="6C9A8992" w14:textId="77777777" w:rsidR="00C80BBE" w:rsidRDefault="00C80BBE">
            <w:pPr>
              <w:spacing w:after="0"/>
              <w:jc w:val="right"/>
            </w:pPr>
            <w:r>
              <w:rPr>
                <w:color w:val="000000"/>
              </w:rPr>
              <w:t> 23.132</w:t>
            </w:r>
          </w:p>
        </w:tc>
        <w:tc>
          <w:tcPr>
            <w:tcW w:w="711" w:type="dxa"/>
            <w:tcBorders>
              <w:top w:val="single" w:sz="4" w:space="0" w:color="auto"/>
              <w:left w:val="nil"/>
              <w:bottom w:val="single" w:sz="4" w:space="0" w:color="auto"/>
              <w:right w:val="nil"/>
            </w:tcBorders>
            <w:vAlign w:val="bottom"/>
            <w:hideMark/>
          </w:tcPr>
          <w:p w14:paraId="7F9C98AD" w14:textId="77777777" w:rsidR="00C80BBE" w:rsidRDefault="00C80BBE">
            <w:pPr>
              <w:autoSpaceDE w:val="0"/>
              <w:autoSpaceDN w:val="0"/>
              <w:adjustRightInd w:val="0"/>
              <w:spacing w:after="0"/>
              <w:jc w:val="right"/>
              <w:rPr>
                <w:rFonts w:eastAsia="Times New Roman"/>
              </w:rPr>
            </w:pPr>
            <w:r>
              <w:rPr>
                <w:color w:val="000000"/>
              </w:rPr>
              <w:t>91.000</w:t>
            </w:r>
          </w:p>
        </w:tc>
        <w:tc>
          <w:tcPr>
            <w:tcW w:w="711" w:type="dxa"/>
            <w:tcBorders>
              <w:top w:val="single" w:sz="4" w:space="0" w:color="auto"/>
              <w:left w:val="nil"/>
              <w:bottom w:val="single" w:sz="4" w:space="0" w:color="auto"/>
              <w:right w:val="nil"/>
            </w:tcBorders>
            <w:vAlign w:val="bottom"/>
            <w:hideMark/>
          </w:tcPr>
          <w:p w14:paraId="359A21C1" w14:textId="77777777" w:rsidR="00C80BBE" w:rsidRDefault="00C80BBE">
            <w:pPr>
              <w:autoSpaceDE w:val="0"/>
              <w:autoSpaceDN w:val="0"/>
              <w:adjustRightInd w:val="0"/>
              <w:spacing w:after="0"/>
              <w:jc w:val="right"/>
              <w:rPr>
                <w:rFonts w:eastAsiaTheme="minorHAnsi"/>
              </w:rPr>
            </w:pPr>
            <w:r>
              <w:rPr>
                <w:color w:val="000000"/>
              </w:rPr>
              <w:t>0.042</w:t>
            </w:r>
          </w:p>
        </w:tc>
        <w:tc>
          <w:tcPr>
            <w:tcW w:w="672" w:type="dxa"/>
            <w:tcBorders>
              <w:top w:val="single" w:sz="4" w:space="0" w:color="auto"/>
              <w:left w:val="nil"/>
              <w:bottom w:val="single" w:sz="4" w:space="0" w:color="auto"/>
              <w:right w:val="nil"/>
            </w:tcBorders>
            <w:vAlign w:val="center"/>
            <w:hideMark/>
          </w:tcPr>
          <w:p w14:paraId="750DBB28" w14:textId="77777777" w:rsidR="00C80BBE" w:rsidRDefault="00C80BBE">
            <w:pPr>
              <w:autoSpaceDE w:val="0"/>
              <w:autoSpaceDN w:val="0"/>
              <w:adjustRightInd w:val="0"/>
              <w:spacing w:after="0"/>
              <w:jc w:val="right"/>
            </w:pPr>
            <w:r>
              <w:rPr>
                <w:color w:val="000000"/>
              </w:rPr>
              <w:t> 0.246</w:t>
            </w:r>
          </w:p>
        </w:tc>
        <w:tc>
          <w:tcPr>
            <w:tcW w:w="486" w:type="dxa"/>
            <w:tcBorders>
              <w:top w:val="single" w:sz="4" w:space="0" w:color="auto"/>
              <w:left w:val="nil"/>
              <w:bottom w:val="single" w:sz="4" w:space="0" w:color="auto"/>
              <w:right w:val="single" w:sz="4" w:space="0" w:color="auto"/>
            </w:tcBorders>
            <w:vAlign w:val="center"/>
            <w:hideMark/>
          </w:tcPr>
          <w:p w14:paraId="2AD1E9C4" w14:textId="77777777" w:rsidR="00C80BBE" w:rsidRDefault="00C80BBE">
            <w:pPr>
              <w:spacing w:after="0"/>
              <w:jc w:val="right"/>
            </w:pPr>
            <w:r>
              <w:rPr>
                <w:color w:val="000000"/>
              </w:rPr>
              <w:t>249</w:t>
            </w:r>
          </w:p>
        </w:tc>
      </w:tr>
      <w:tr w:rsidR="00C80BBE" w14:paraId="671D6CA5" w14:textId="77777777" w:rsidTr="00C80BBE">
        <w:trPr>
          <w:jc w:val="center"/>
        </w:trPr>
        <w:tc>
          <w:tcPr>
            <w:tcW w:w="997" w:type="dxa"/>
            <w:tcBorders>
              <w:top w:val="single" w:sz="4" w:space="0" w:color="auto"/>
              <w:left w:val="single" w:sz="4" w:space="0" w:color="auto"/>
              <w:bottom w:val="single" w:sz="4" w:space="0" w:color="auto"/>
              <w:right w:val="nil"/>
            </w:tcBorders>
            <w:vAlign w:val="center"/>
            <w:hideMark/>
          </w:tcPr>
          <w:p w14:paraId="27E1D505" w14:textId="77777777" w:rsidR="00C80BBE" w:rsidRDefault="00C80BBE" w:rsidP="00C80BBE">
            <w:pPr>
              <w:spacing w:after="0"/>
              <w:jc w:val="left"/>
            </w:pPr>
            <w:r>
              <w:t xml:space="preserve">GDPG </w:t>
            </w:r>
            <w:r>
              <w:rPr>
                <w:color w:val="000000"/>
              </w:rPr>
              <w:t>(%)</w:t>
            </w:r>
          </w:p>
        </w:tc>
        <w:tc>
          <w:tcPr>
            <w:tcW w:w="756" w:type="dxa"/>
            <w:tcBorders>
              <w:top w:val="single" w:sz="4" w:space="0" w:color="auto"/>
              <w:left w:val="nil"/>
              <w:bottom w:val="single" w:sz="4" w:space="0" w:color="auto"/>
              <w:right w:val="nil"/>
            </w:tcBorders>
            <w:vAlign w:val="center"/>
            <w:hideMark/>
          </w:tcPr>
          <w:p w14:paraId="1DB5F94F" w14:textId="77777777" w:rsidR="00C80BBE" w:rsidRDefault="00C80BBE">
            <w:pPr>
              <w:spacing w:after="0"/>
              <w:jc w:val="right"/>
              <w:rPr>
                <w:rFonts w:eastAsia="Times New Roman"/>
              </w:rPr>
            </w:pPr>
            <w:r>
              <w:rPr>
                <w:rFonts w:eastAsia="Times New Roman"/>
              </w:rPr>
              <w:t>3.616</w:t>
            </w:r>
          </w:p>
        </w:tc>
        <w:tc>
          <w:tcPr>
            <w:tcW w:w="756" w:type="dxa"/>
            <w:tcBorders>
              <w:top w:val="single" w:sz="4" w:space="0" w:color="auto"/>
              <w:left w:val="nil"/>
              <w:bottom w:val="single" w:sz="4" w:space="0" w:color="auto"/>
              <w:right w:val="nil"/>
            </w:tcBorders>
            <w:vAlign w:val="center"/>
            <w:hideMark/>
          </w:tcPr>
          <w:p w14:paraId="0E28F0C0" w14:textId="77777777" w:rsidR="00C80BBE" w:rsidRDefault="00C80BBE">
            <w:pPr>
              <w:spacing w:after="0"/>
              <w:jc w:val="right"/>
              <w:rPr>
                <w:rFonts w:eastAsia="Times New Roman"/>
              </w:rPr>
            </w:pPr>
            <w:r>
              <w:rPr>
                <w:rFonts w:eastAsia="Times New Roman"/>
              </w:rPr>
              <w:t>1.037</w:t>
            </w:r>
          </w:p>
        </w:tc>
        <w:tc>
          <w:tcPr>
            <w:tcW w:w="711" w:type="dxa"/>
            <w:tcBorders>
              <w:top w:val="single" w:sz="4" w:space="0" w:color="auto"/>
              <w:left w:val="nil"/>
              <w:bottom w:val="single" w:sz="4" w:space="0" w:color="auto"/>
              <w:right w:val="nil"/>
            </w:tcBorders>
            <w:vAlign w:val="center"/>
            <w:hideMark/>
          </w:tcPr>
          <w:p w14:paraId="53A8BD3B" w14:textId="77777777" w:rsidR="00C80BBE" w:rsidRDefault="00C80BBE">
            <w:pPr>
              <w:spacing w:after="0"/>
              <w:jc w:val="right"/>
              <w:rPr>
                <w:rFonts w:eastAsia="Times New Roman"/>
              </w:rPr>
            </w:pPr>
            <w:r>
              <w:rPr>
                <w:rFonts w:eastAsia="Times New Roman"/>
              </w:rPr>
              <w:t>5.400</w:t>
            </w:r>
          </w:p>
        </w:tc>
        <w:tc>
          <w:tcPr>
            <w:tcW w:w="711" w:type="dxa"/>
            <w:tcBorders>
              <w:top w:val="single" w:sz="4" w:space="0" w:color="auto"/>
              <w:left w:val="nil"/>
              <w:bottom w:val="single" w:sz="4" w:space="0" w:color="auto"/>
              <w:right w:val="nil"/>
            </w:tcBorders>
            <w:vAlign w:val="center"/>
            <w:hideMark/>
          </w:tcPr>
          <w:p w14:paraId="0B706537" w14:textId="77777777" w:rsidR="00C80BBE" w:rsidRDefault="00C80BBE">
            <w:pPr>
              <w:spacing w:after="0"/>
              <w:jc w:val="right"/>
              <w:rPr>
                <w:rFonts w:eastAsia="Times New Roman"/>
              </w:rPr>
            </w:pPr>
            <w:r>
              <w:rPr>
                <w:rFonts w:eastAsia="Times New Roman"/>
              </w:rPr>
              <w:t>-0.410</w:t>
            </w:r>
          </w:p>
        </w:tc>
        <w:tc>
          <w:tcPr>
            <w:tcW w:w="672" w:type="dxa"/>
            <w:tcBorders>
              <w:top w:val="single" w:sz="4" w:space="0" w:color="auto"/>
              <w:left w:val="nil"/>
              <w:bottom w:val="single" w:sz="4" w:space="0" w:color="auto"/>
              <w:right w:val="nil"/>
            </w:tcBorders>
            <w:vAlign w:val="center"/>
            <w:hideMark/>
          </w:tcPr>
          <w:p w14:paraId="71E7AE38" w14:textId="77777777" w:rsidR="00C80BBE" w:rsidRDefault="00C80BBE">
            <w:pPr>
              <w:spacing w:after="0"/>
              <w:jc w:val="right"/>
              <w:rPr>
                <w:rFonts w:eastAsia="Times New Roman"/>
              </w:rPr>
            </w:pPr>
            <w:r>
              <w:rPr>
                <w:rFonts w:eastAsia="Times New Roman"/>
              </w:rPr>
              <w:t>-1.326</w:t>
            </w:r>
          </w:p>
        </w:tc>
        <w:tc>
          <w:tcPr>
            <w:tcW w:w="486" w:type="dxa"/>
            <w:tcBorders>
              <w:top w:val="single" w:sz="4" w:space="0" w:color="auto"/>
              <w:left w:val="nil"/>
              <w:bottom w:val="single" w:sz="4" w:space="0" w:color="auto"/>
              <w:right w:val="single" w:sz="4" w:space="0" w:color="auto"/>
            </w:tcBorders>
            <w:vAlign w:val="center"/>
            <w:hideMark/>
          </w:tcPr>
          <w:p w14:paraId="60137FDF" w14:textId="77777777" w:rsidR="00C80BBE" w:rsidRDefault="00C80BBE">
            <w:pPr>
              <w:spacing w:after="0"/>
              <w:jc w:val="right"/>
              <w:rPr>
                <w:rFonts w:eastAsia="Times New Roman"/>
              </w:rPr>
            </w:pPr>
            <w:r>
              <w:rPr>
                <w:color w:val="000000"/>
              </w:rPr>
              <w:t>249</w:t>
            </w:r>
          </w:p>
        </w:tc>
      </w:tr>
      <w:tr w:rsidR="00C80BBE" w14:paraId="530958B3" w14:textId="77777777" w:rsidTr="00C80BBE">
        <w:trPr>
          <w:jc w:val="center"/>
        </w:trPr>
        <w:tc>
          <w:tcPr>
            <w:tcW w:w="997" w:type="dxa"/>
            <w:tcBorders>
              <w:top w:val="single" w:sz="4" w:space="0" w:color="auto"/>
              <w:left w:val="single" w:sz="4" w:space="0" w:color="auto"/>
              <w:bottom w:val="single" w:sz="4" w:space="0" w:color="auto"/>
              <w:right w:val="nil"/>
            </w:tcBorders>
            <w:vAlign w:val="center"/>
            <w:hideMark/>
          </w:tcPr>
          <w:p w14:paraId="6EDDDF96" w14:textId="77777777" w:rsidR="00C80BBE" w:rsidRDefault="00C80BBE" w:rsidP="00C80BBE">
            <w:pPr>
              <w:spacing w:after="0"/>
              <w:jc w:val="left"/>
              <w:rPr>
                <w:rFonts w:eastAsiaTheme="minorHAnsi"/>
              </w:rPr>
            </w:pPr>
            <w:r>
              <w:t>IND - dummy</w:t>
            </w:r>
          </w:p>
        </w:tc>
        <w:tc>
          <w:tcPr>
            <w:tcW w:w="756" w:type="dxa"/>
            <w:tcBorders>
              <w:top w:val="single" w:sz="4" w:space="0" w:color="auto"/>
              <w:left w:val="nil"/>
              <w:bottom w:val="single" w:sz="4" w:space="0" w:color="auto"/>
              <w:right w:val="nil"/>
            </w:tcBorders>
            <w:vAlign w:val="center"/>
            <w:hideMark/>
          </w:tcPr>
          <w:p w14:paraId="50D7820A" w14:textId="77777777" w:rsidR="00C80BBE" w:rsidRDefault="00C80BBE">
            <w:pPr>
              <w:spacing w:after="0"/>
              <w:jc w:val="right"/>
            </w:pPr>
            <w:r>
              <w:t>0.289</w:t>
            </w:r>
          </w:p>
        </w:tc>
        <w:tc>
          <w:tcPr>
            <w:tcW w:w="756" w:type="dxa"/>
            <w:tcBorders>
              <w:top w:val="single" w:sz="4" w:space="0" w:color="auto"/>
              <w:left w:val="nil"/>
              <w:bottom w:val="single" w:sz="4" w:space="0" w:color="auto"/>
              <w:right w:val="nil"/>
            </w:tcBorders>
            <w:vAlign w:val="center"/>
            <w:hideMark/>
          </w:tcPr>
          <w:p w14:paraId="2497852A" w14:textId="77777777" w:rsidR="00C80BBE" w:rsidRDefault="00C80BBE">
            <w:pPr>
              <w:spacing w:after="0"/>
              <w:jc w:val="right"/>
            </w:pPr>
            <w:r>
              <w:t>0.454</w:t>
            </w:r>
          </w:p>
        </w:tc>
        <w:tc>
          <w:tcPr>
            <w:tcW w:w="711" w:type="dxa"/>
            <w:tcBorders>
              <w:top w:val="single" w:sz="4" w:space="0" w:color="auto"/>
              <w:left w:val="nil"/>
              <w:bottom w:val="single" w:sz="4" w:space="0" w:color="auto"/>
              <w:right w:val="nil"/>
            </w:tcBorders>
            <w:vAlign w:val="center"/>
            <w:hideMark/>
          </w:tcPr>
          <w:p w14:paraId="63DC55BA" w14:textId="77777777" w:rsidR="00C80BBE" w:rsidRDefault="00C80BBE">
            <w:pPr>
              <w:spacing w:after="0"/>
              <w:jc w:val="right"/>
              <w:rPr>
                <w:rFonts w:eastAsia="Times New Roman"/>
                <w:color w:val="000000"/>
              </w:rPr>
            </w:pPr>
            <w:r>
              <w:rPr>
                <w:rFonts w:eastAsia="Times New Roman"/>
                <w:color w:val="000000"/>
              </w:rPr>
              <w:t>1.000</w:t>
            </w:r>
          </w:p>
        </w:tc>
        <w:tc>
          <w:tcPr>
            <w:tcW w:w="711" w:type="dxa"/>
            <w:tcBorders>
              <w:top w:val="single" w:sz="4" w:space="0" w:color="auto"/>
              <w:left w:val="nil"/>
              <w:bottom w:val="single" w:sz="4" w:space="0" w:color="auto"/>
              <w:right w:val="nil"/>
            </w:tcBorders>
            <w:vAlign w:val="center"/>
            <w:hideMark/>
          </w:tcPr>
          <w:p w14:paraId="16D1A6A0" w14:textId="77777777" w:rsidR="00C80BBE" w:rsidRDefault="00C80BBE">
            <w:pPr>
              <w:spacing w:after="0"/>
              <w:jc w:val="right"/>
              <w:rPr>
                <w:rFonts w:eastAsiaTheme="minorHAnsi"/>
              </w:rPr>
            </w:pPr>
            <w:r>
              <w:rPr>
                <w:color w:val="000000"/>
              </w:rPr>
              <w:t>0.000</w:t>
            </w:r>
          </w:p>
        </w:tc>
        <w:tc>
          <w:tcPr>
            <w:tcW w:w="672" w:type="dxa"/>
            <w:tcBorders>
              <w:top w:val="single" w:sz="4" w:space="0" w:color="auto"/>
              <w:left w:val="nil"/>
              <w:bottom w:val="single" w:sz="4" w:space="0" w:color="auto"/>
              <w:right w:val="nil"/>
            </w:tcBorders>
            <w:vAlign w:val="center"/>
            <w:hideMark/>
          </w:tcPr>
          <w:p w14:paraId="03F20ABE" w14:textId="77777777" w:rsidR="00C80BBE" w:rsidRDefault="00C80BBE">
            <w:pPr>
              <w:spacing w:after="0"/>
              <w:jc w:val="right"/>
            </w:pPr>
            <w:r>
              <w:t>0.930</w:t>
            </w:r>
          </w:p>
        </w:tc>
        <w:tc>
          <w:tcPr>
            <w:tcW w:w="486" w:type="dxa"/>
            <w:tcBorders>
              <w:top w:val="single" w:sz="4" w:space="0" w:color="auto"/>
              <w:left w:val="nil"/>
              <w:bottom w:val="single" w:sz="4" w:space="0" w:color="auto"/>
              <w:right w:val="single" w:sz="4" w:space="0" w:color="auto"/>
            </w:tcBorders>
            <w:vAlign w:val="center"/>
            <w:hideMark/>
          </w:tcPr>
          <w:p w14:paraId="7792BA7E" w14:textId="77777777" w:rsidR="00C80BBE" w:rsidRDefault="00C80BBE">
            <w:pPr>
              <w:spacing w:after="0"/>
              <w:jc w:val="right"/>
              <w:rPr>
                <w:color w:val="000000"/>
              </w:rPr>
            </w:pPr>
            <w:r>
              <w:rPr>
                <w:color w:val="000000"/>
              </w:rPr>
              <w:t>249</w:t>
            </w:r>
          </w:p>
        </w:tc>
      </w:tr>
    </w:tbl>
    <w:p w14:paraId="09ECEB21" w14:textId="77777777" w:rsidR="00C80BBE" w:rsidRDefault="00C80BBE" w:rsidP="00C80BBE">
      <w:pPr>
        <w:spacing w:after="0"/>
      </w:pPr>
      <w:r>
        <w:t>Notes:</w:t>
      </w:r>
    </w:p>
    <w:p w14:paraId="61050D9B" w14:textId="77777777" w:rsidR="00C80BBE" w:rsidRDefault="00C80BBE" w:rsidP="00C80BBE">
      <w:pPr>
        <w:spacing w:after="120"/>
      </w:pPr>
      <w:r>
        <w:t>ROA = Return on Assets, RET = Stock Return, ESG = environmental, social, and governance, GB = dummy - green bond, GOV = percentage of government owned (SOE), SIZE = Total Assets, LEV = total debt / total assets, GDPG = GDP growth, IND = dummy industry.</w:t>
      </w:r>
    </w:p>
    <w:p w14:paraId="19E7CB21" w14:textId="77777777" w:rsidR="00C80BBE" w:rsidRDefault="00C80BBE" w:rsidP="00C80BBE">
      <w:pPr>
        <w:spacing w:after="120"/>
      </w:pPr>
    </w:p>
    <w:p w14:paraId="03602A4B" w14:textId="1FB7FC1A" w:rsidR="00EC1C20" w:rsidRDefault="00C80BBE" w:rsidP="00EC1C20">
      <w:pPr>
        <w:spacing w:after="120"/>
      </w:pPr>
      <w:r>
        <w:t>The average level of company profitability (ROA) in ASEAN-5 is 5% which is lower than the average level of stock returns (10%). Average stock returns are supported by the most financial industry sector. ESG index with an average of 2,685, the average return on ROA is lower.</w:t>
      </w:r>
      <w:r w:rsidR="00EC1C20">
        <w:t xml:space="preserve"> </w:t>
      </w:r>
      <w:r w:rsidR="00EC1C20" w:rsidRPr="00EC1C20">
        <w:t>Furthermore, this study transforms variables (non-dummy) that have a fairly high level of skewness using natural logarithms, namely the ESG Index (ESG), bank size (SIZE), and gross domestic product growth (GDPG).</w:t>
      </w:r>
      <w:r w:rsidR="00EC1C20">
        <w:t xml:space="preserve"> Table 2 describes the correlation matrix between variables.</w:t>
      </w:r>
    </w:p>
    <w:p w14:paraId="1C00B5ED" w14:textId="3A9DAB0E" w:rsidR="00EC1C20" w:rsidRDefault="00EC1C20" w:rsidP="00EC1C20">
      <w:pPr>
        <w:spacing w:after="120"/>
        <w:jc w:val="center"/>
        <w:rPr>
          <w:b/>
          <w:bCs/>
        </w:rPr>
      </w:pPr>
      <w:r w:rsidRPr="00EC1C20">
        <w:rPr>
          <w:b/>
          <w:bCs/>
        </w:rPr>
        <w:t>Table 2 Correlation Matrix of Main Variables</w:t>
      </w:r>
    </w:p>
    <w:tbl>
      <w:tblPr>
        <w:tblW w:w="5760" w:type="dxa"/>
        <w:jc w:val="center"/>
        <w:tblLayout w:type="fixed"/>
        <w:tblCellMar>
          <w:left w:w="0" w:type="dxa"/>
          <w:right w:w="0" w:type="dxa"/>
        </w:tblCellMar>
        <w:tblLook w:val="04A0" w:firstRow="1" w:lastRow="0" w:firstColumn="1" w:lastColumn="0" w:noHBand="0" w:noVBand="1"/>
      </w:tblPr>
      <w:tblGrid>
        <w:gridCol w:w="540"/>
        <w:gridCol w:w="720"/>
        <w:gridCol w:w="630"/>
        <w:gridCol w:w="720"/>
        <w:gridCol w:w="630"/>
        <w:gridCol w:w="720"/>
        <w:gridCol w:w="720"/>
        <w:gridCol w:w="630"/>
        <w:gridCol w:w="450"/>
      </w:tblGrid>
      <w:tr w:rsidR="00EC1C20" w:rsidRPr="00EC1C20" w14:paraId="7B56EB31" w14:textId="77777777" w:rsidTr="00EC1C20">
        <w:trPr>
          <w:trHeight w:hRule="exact" w:val="88"/>
          <w:jc w:val="center"/>
        </w:trPr>
        <w:tc>
          <w:tcPr>
            <w:tcW w:w="540" w:type="dxa"/>
            <w:tcBorders>
              <w:top w:val="nil"/>
              <w:left w:val="nil"/>
              <w:bottom w:val="double" w:sz="6" w:space="0" w:color="auto"/>
              <w:right w:val="nil"/>
            </w:tcBorders>
            <w:vAlign w:val="bottom"/>
          </w:tcPr>
          <w:p w14:paraId="56B3FC2F" w14:textId="77777777" w:rsidR="00EC1C20" w:rsidRPr="00EC1C20" w:rsidRDefault="00EC1C20">
            <w:pPr>
              <w:autoSpaceDE w:val="0"/>
              <w:autoSpaceDN w:val="0"/>
              <w:adjustRightInd w:val="0"/>
              <w:spacing w:after="0"/>
              <w:rPr>
                <w:color w:val="000000"/>
                <w:sz w:val="16"/>
                <w:szCs w:val="16"/>
              </w:rPr>
            </w:pPr>
          </w:p>
        </w:tc>
        <w:tc>
          <w:tcPr>
            <w:tcW w:w="720" w:type="dxa"/>
            <w:tcBorders>
              <w:top w:val="nil"/>
              <w:left w:val="nil"/>
              <w:bottom w:val="double" w:sz="6" w:space="0" w:color="auto"/>
              <w:right w:val="nil"/>
            </w:tcBorders>
            <w:vAlign w:val="bottom"/>
          </w:tcPr>
          <w:p w14:paraId="51DE6A05" w14:textId="77777777" w:rsidR="00EC1C20" w:rsidRPr="00EC1C20" w:rsidRDefault="00EC1C20">
            <w:pPr>
              <w:autoSpaceDE w:val="0"/>
              <w:autoSpaceDN w:val="0"/>
              <w:adjustRightInd w:val="0"/>
              <w:spacing w:after="0"/>
              <w:rPr>
                <w:color w:val="000000"/>
                <w:sz w:val="16"/>
                <w:szCs w:val="16"/>
              </w:rPr>
            </w:pPr>
          </w:p>
        </w:tc>
        <w:tc>
          <w:tcPr>
            <w:tcW w:w="630" w:type="dxa"/>
            <w:tcBorders>
              <w:top w:val="nil"/>
              <w:left w:val="nil"/>
              <w:bottom w:val="double" w:sz="6" w:space="0" w:color="auto"/>
              <w:right w:val="nil"/>
            </w:tcBorders>
            <w:vAlign w:val="bottom"/>
          </w:tcPr>
          <w:p w14:paraId="5C961E94" w14:textId="77777777" w:rsidR="00EC1C20" w:rsidRPr="00EC1C20" w:rsidRDefault="00EC1C20">
            <w:pPr>
              <w:autoSpaceDE w:val="0"/>
              <w:autoSpaceDN w:val="0"/>
              <w:adjustRightInd w:val="0"/>
              <w:spacing w:after="0"/>
              <w:rPr>
                <w:color w:val="000000"/>
                <w:sz w:val="16"/>
                <w:szCs w:val="16"/>
              </w:rPr>
            </w:pPr>
          </w:p>
        </w:tc>
        <w:tc>
          <w:tcPr>
            <w:tcW w:w="720" w:type="dxa"/>
            <w:tcBorders>
              <w:top w:val="nil"/>
              <w:left w:val="nil"/>
              <w:bottom w:val="double" w:sz="6" w:space="0" w:color="auto"/>
              <w:right w:val="nil"/>
            </w:tcBorders>
            <w:vAlign w:val="bottom"/>
          </w:tcPr>
          <w:p w14:paraId="061FE8AA" w14:textId="77777777" w:rsidR="00EC1C20" w:rsidRPr="00EC1C20" w:rsidRDefault="00EC1C20">
            <w:pPr>
              <w:autoSpaceDE w:val="0"/>
              <w:autoSpaceDN w:val="0"/>
              <w:adjustRightInd w:val="0"/>
              <w:spacing w:after="0"/>
              <w:rPr>
                <w:color w:val="000000"/>
                <w:sz w:val="16"/>
                <w:szCs w:val="16"/>
              </w:rPr>
            </w:pPr>
          </w:p>
        </w:tc>
        <w:tc>
          <w:tcPr>
            <w:tcW w:w="630" w:type="dxa"/>
            <w:tcBorders>
              <w:top w:val="nil"/>
              <w:left w:val="nil"/>
              <w:bottom w:val="double" w:sz="6" w:space="0" w:color="auto"/>
              <w:right w:val="nil"/>
            </w:tcBorders>
            <w:vAlign w:val="bottom"/>
          </w:tcPr>
          <w:p w14:paraId="112D6D85" w14:textId="77777777" w:rsidR="00EC1C20" w:rsidRPr="00EC1C20" w:rsidRDefault="00EC1C20">
            <w:pPr>
              <w:autoSpaceDE w:val="0"/>
              <w:autoSpaceDN w:val="0"/>
              <w:adjustRightInd w:val="0"/>
              <w:spacing w:after="0"/>
              <w:rPr>
                <w:color w:val="000000"/>
                <w:sz w:val="16"/>
                <w:szCs w:val="16"/>
              </w:rPr>
            </w:pPr>
          </w:p>
        </w:tc>
        <w:tc>
          <w:tcPr>
            <w:tcW w:w="720" w:type="dxa"/>
            <w:tcBorders>
              <w:top w:val="nil"/>
              <w:left w:val="nil"/>
              <w:bottom w:val="double" w:sz="6" w:space="0" w:color="auto"/>
              <w:right w:val="nil"/>
            </w:tcBorders>
            <w:vAlign w:val="bottom"/>
          </w:tcPr>
          <w:p w14:paraId="16CF3DCB" w14:textId="77777777" w:rsidR="00EC1C20" w:rsidRPr="00EC1C20" w:rsidRDefault="00EC1C20">
            <w:pPr>
              <w:autoSpaceDE w:val="0"/>
              <w:autoSpaceDN w:val="0"/>
              <w:adjustRightInd w:val="0"/>
              <w:spacing w:after="0"/>
              <w:rPr>
                <w:color w:val="000000"/>
                <w:sz w:val="16"/>
                <w:szCs w:val="16"/>
              </w:rPr>
            </w:pPr>
          </w:p>
        </w:tc>
        <w:tc>
          <w:tcPr>
            <w:tcW w:w="720" w:type="dxa"/>
            <w:tcBorders>
              <w:top w:val="nil"/>
              <w:left w:val="nil"/>
              <w:bottom w:val="double" w:sz="6" w:space="0" w:color="auto"/>
              <w:right w:val="nil"/>
            </w:tcBorders>
            <w:vAlign w:val="bottom"/>
          </w:tcPr>
          <w:p w14:paraId="27824A3F" w14:textId="77777777" w:rsidR="00EC1C20" w:rsidRPr="00EC1C20" w:rsidRDefault="00EC1C20">
            <w:pPr>
              <w:autoSpaceDE w:val="0"/>
              <w:autoSpaceDN w:val="0"/>
              <w:adjustRightInd w:val="0"/>
              <w:spacing w:after="0"/>
              <w:rPr>
                <w:color w:val="000000"/>
                <w:sz w:val="16"/>
                <w:szCs w:val="16"/>
              </w:rPr>
            </w:pPr>
          </w:p>
        </w:tc>
        <w:tc>
          <w:tcPr>
            <w:tcW w:w="630" w:type="dxa"/>
            <w:tcBorders>
              <w:top w:val="nil"/>
              <w:left w:val="nil"/>
              <w:bottom w:val="double" w:sz="6" w:space="0" w:color="auto"/>
              <w:right w:val="nil"/>
            </w:tcBorders>
            <w:vAlign w:val="bottom"/>
          </w:tcPr>
          <w:p w14:paraId="4C6720E3" w14:textId="77777777" w:rsidR="00EC1C20" w:rsidRPr="00EC1C20" w:rsidRDefault="00EC1C20">
            <w:pPr>
              <w:autoSpaceDE w:val="0"/>
              <w:autoSpaceDN w:val="0"/>
              <w:adjustRightInd w:val="0"/>
              <w:spacing w:after="0"/>
              <w:rPr>
                <w:color w:val="000000"/>
                <w:sz w:val="16"/>
                <w:szCs w:val="16"/>
              </w:rPr>
            </w:pPr>
          </w:p>
        </w:tc>
        <w:tc>
          <w:tcPr>
            <w:tcW w:w="450" w:type="dxa"/>
            <w:tcBorders>
              <w:top w:val="nil"/>
              <w:left w:val="nil"/>
              <w:bottom w:val="double" w:sz="6" w:space="0" w:color="auto"/>
              <w:right w:val="nil"/>
            </w:tcBorders>
            <w:vAlign w:val="bottom"/>
          </w:tcPr>
          <w:p w14:paraId="2B6581AD" w14:textId="77777777" w:rsidR="00EC1C20" w:rsidRPr="00EC1C20" w:rsidRDefault="00EC1C20">
            <w:pPr>
              <w:autoSpaceDE w:val="0"/>
              <w:autoSpaceDN w:val="0"/>
              <w:adjustRightInd w:val="0"/>
              <w:spacing w:after="0"/>
              <w:rPr>
                <w:color w:val="000000"/>
                <w:sz w:val="16"/>
                <w:szCs w:val="16"/>
              </w:rPr>
            </w:pPr>
          </w:p>
        </w:tc>
      </w:tr>
      <w:tr w:rsidR="00EC1C20" w:rsidRPr="00EC1C20" w14:paraId="27BA222B" w14:textId="77777777" w:rsidTr="00EC1C20">
        <w:trPr>
          <w:trHeight w:hRule="exact" w:val="132"/>
          <w:jc w:val="center"/>
        </w:trPr>
        <w:tc>
          <w:tcPr>
            <w:tcW w:w="540" w:type="dxa"/>
            <w:vAlign w:val="bottom"/>
          </w:tcPr>
          <w:p w14:paraId="5089BC66" w14:textId="77777777" w:rsidR="00EC1C20" w:rsidRPr="00EC1C20" w:rsidRDefault="00EC1C20">
            <w:pPr>
              <w:autoSpaceDE w:val="0"/>
              <w:autoSpaceDN w:val="0"/>
              <w:adjustRightInd w:val="0"/>
              <w:spacing w:after="0"/>
              <w:rPr>
                <w:color w:val="000000"/>
                <w:sz w:val="16"/>
                <w:szCs w:val="16"/>
              </w:rPr>
            </w:pPr>
          </w:p>
        </w:tc>
        <w:tc>
          <w:tcPr>
            <w:tcW w:w="720" w:type="dxa"/>
            <w:vAlign w:val="bottom"/>
          </w:tcPr>
          <w:p w14:paraId="4F0D69CC" w14:textId="77777777" w:rsidR="00EC1C20" w:rsidRPr="00EC1C20" w:rsidRDefault="00EC1C20">
            <w:pPr>
              <w:autoSpaceDE w:val="0"/>
              <w:autoSpaceDN w:val="0"/>
              <w:adjustRightInd w:val="0"/>
              <w:spacing w:after="0"/>
              <w:rPr>
                <w:color w:val="000000"/>
                <w:sz w:val="16"/>
                <w:szCs w:val="16"/>
              </w:rPr>
            </w:pPr>
          </w:p>
        </w:tc>
        <w:tc>
          <w:tcPr>
            <w:tcW w:w="630" w:type="dxa"/>
            <w:vAlign w:val="bottom"/>
          </w:tcPr>
          <w:p w14:paraId="50A0A1A8" w14:textId="77777777" w:rsidR="00EC1C20" w:rsidRPr="00EC1C20" w:rsidRDefault="00EC1C20">
            <w:pPr>
              <w:autoSpaceDE w:val="0"/>
              <w:autoSpaceDN w:val="0"/>
              <w:adjustRightInd w:val="0"/>
              <w:spacing w:after="0"/>
              <w:rPr>
                <w:color w:val="000000"/>
                <w:sz w:val="16"/>
                <w:szCs w:val="16"/>
              </w:rPr>
            </w:pPr>
          </w:p>
        </w:tc>
        <w:tc>
          <w:tcPr>
            <w:tcW w:w="720" w:type="dxa"/>
            <w:vAlign w:val="bottom"/>
          </w:tcPr>
          <w:p w14:paraId="3D668F1C" w14:textId="77777777" w:rsidR="00EC1C20" w:rsidRPr="00EC1C20" w:rsidRDefault="00EC1C20">
            <w:pPr>
              <w:autoSpaceDE w:val="0"/>
              <w:autoSpaceDN w:val="0"/>
              <w:adjustRightInd w:val="0"/>
              <w:spacing w:after="0"/>
              <w:rPr>
                <w:color w:val="000000"/>
                <w:sz w:val="16"/>
                <w:szCs w:val="16"/>
              </w:rPr>
            </w:pPr>
          </w:p>
        </w:tc>
        <w:tc>
          <w:tcPr>
            <w:tcW w:w="630" w:type="dxa"/>
            <w:vAlign w:val="bottom"/>
          </w:tcPr>
          <w:p w14:paraId="228D0049" w14:textId="77777777" w:rsidR="00EC1C20" w:rsidRPr="00EC1C20" w:rsidRDefault="00EC1C20">
            <w:pPr>
              <w:autoSpaceDE w:val="0"/>
              <w:autoSpaceDN w:val="0"/>
              <w:adjustRightInd w:val="0"/>
              <w:spacing w:after="0"/>
              <w:rPr>
                <w:color w:val="000000"/>
                <w:sz w:val="16"/>
                <w:szCs w:val="16"/>
              </w:rPr>
            </w:pPr>
          </w:p>
        </w:tc>
        <w:tc>
          <w:tcPr>
            <w:tcW w:w="720" w:type="dxa"/>
            <w:vAlign w:val="bottom"/>
          </w:tcPr>
          <w:p w14:paraId="1650C591" w14:textId="77777777" w:rsidR="00EC1C20" w:rsidRPr="00EC1C20" w:rsidRDefault="00EC1C20">
            <w:pPr>
              <w:autoSpaceDE w:val="0"/>
              <w:autoSpaceDN w:val="0"/>
              <w:adjustRightInd w:val="0"/>
              <w:spacing w:after="0"/>
              <w:rPr>
                <w:color w:val="000000"/>
                <w:sz w:val="16"/>
                <w:szCs w:val="16"/>
              </w:rPr>
            </w:pPr>
          </w:p>
        </w:tc>
        <w:tc>
          <w:tcPr>
            <w:tcW w:w="720" w:type="dxa"/>
            <w:vAlign w:val="bottom"/>
          </w:tcPr>
          <w:p w14:paraId="33B8055F" w14:textId="77777777" w:rsidR="00EC1C20" w:rsidRPr="00EC1C20" w:rsidRDefault="00EC1C20">
            <w:pPr>
              <w:autoSpaceDE w:val="0"/>
              <w:autoSpaceDN w:val="0"/>
              <w:adjustRightInd w:val="0"/>
              <w:spacing w:after="0"/>
              <w:rPr>
                <w:color w:val="000000"/>
                <w:sz w:val="16"/>
                <w:szCs w:val="16"/>
              </w:rPr>
            </w:pPr>
          </w:p>
        </w:tc>
        <w:tc>
          <w:tcPr>
            <w:tcW w:w="630" w:type="dxa"/>
            <w:vAlign w:val="bottom"/>
          </w:tcPr>
          <w:p w14:paraId="35B2E21B" w14:textId="77777777" w:rsidR="00EC1C20" w:rsidRPr="00EC1C20" w:rsidRDefault="00EC1C20">
            <w:pPr>
              <w:autoSpaceDE w:val="0"/>
              <w:autoSpaceDN w:val="0"/>
              <w:adjustRightInd w:val="0"/>
              <w:spacing w:after="0"/>
              <w:rPr>
                <w:color w:val="000000"/>
                <w:sz w:val="16"/>
                <w:szCs w:val="16"/>
              </w:rPr>
            </w:pPr>
          </w:p>
        </w:tc>
        <w:tc>
          <w:tcPr>
            <w:tcW w:w="450" w:type="dxa"/>
            <w:vAlign w:val="bottom"/>
          </w:tcPr>
          <w:p w14:paraId="2A99026C" w14:textId="77777777" w:rsidR="00EC1C20" w:rsidRPr="00EC1C20" w:rsidRDefault="00EC1C20">
            <w:pPr>
              <w:autoSpaceDE w:val="0"/>
              <w:autoSpaceDN w:val="0"/>
              <w:adjustRightInd w:val="0"/>
              <w:spacing w:after="0"/>
              <w:rPr>
                <w:color w:val="000000"/>
                <w:sz w:val="16"/>
                <w:szCs w:val="16"/>
              </w:rPr>
            </w:pPr>
          </w:p>
        </w:tc>
      </w:tr>
      <w:tr w:rsidR="00EC1C20" w:rsidRPr="00EC1C20" w14:paraId="31DD9547" w14:textId="77777777" w:rsidTr="00EC1C20">
        <w:trPr>
          <w:trHeight w:val="220"/>
          <w:jc w:val="center"/>
        </w:trPr>
        <w:tc>
          <w:tcPr>
            <w:tcW w:w="540" w:type="dxa"/>
            <w:tcBorders>
              <w:top w:val="nil"/>
              <w:left w:val="nil"/>
              <w:bottom w:val="single" w:sz="6" w:space="0" w:color="auto"/>
              <w:right w:val="single" w:sz="6" w:space="0" w:color="auto"/>
            </w:tcBorders>
            <w:vAlign w:val="bottom"/>
          </w:tcPr>
          <w:p w14:paraId="2ABD8159" w14:textId="77777777" w:rsidR="00EC1C20" w:rsidRPr="00EC1C20" w:rsidRDefault="00EC1C20">
            <w:pPr>
              <w:autoSpaceDE w:val="0"/>
              <w:autoSpaceDN w:val="0"/>
              <w:adjustRightInd w:val="0"/>
              <w:spacing w:after="0"/>
              <w:rPr>
                <w:color w:val="000000"/>
                <w:sz w:val="16"/>
                <w:szCs w:val="16"/>
              </w:rPr>
            </w:pPr>
          </w:p>
        </w:tc>
        <w:tc>
          <w:tcPr>
            <w:tcW w:w="720" w:type="dxa"/>
            <w:tcBorders>
              <w:top w:val="nil"/>
              <w:left w:val="single" w:sz="6" w:space="0" w:color="auto"/>
              <w:bottom w:val="single" w:sz="6" w:space="0" w:color="auto"/>
              <w:right w:val="nil"/>
            </w:tcBorders>
            <w:vAlign w:val="center"/>
            <w:hideMark/>
          </w:tcPr>
          <w:p w14:paraId="4317EFE0" w14:textId="77777777" w:rsidR="00EC1C20" w:rsidRPr="00B44CFB" w:rsidRDefault="00EC1C20">
            <w:pPr>
              <w:autoSpaceDE w:val="0"/>
              <w:autoSpaceDN w:val="0"/>
              <w:adjustRightInd w:val="0"/>
              <w:spacing w:after="0"/>
              <w:ind w:right="20"/>
              <w:jc w:val="center"/>
              <w:rPr>
                <w:b/>
                <w:bCs/>
                <w:color w:val="000000"/>
                <w:sz w:val="16"/>
                <w:szCs w:val="16"/>
              </w:rPr>
            </w:pPr>
            <w:r w:rsidRPr="00B44CFB">
              <w:rPr>
                <w:b/>
                <w:bCs/>
                <w:color w:val="000000"/>
                <w:sz w:val="16"/>
                <w:szCs w:val="16"/>
              </w:rPr>
              <w:t>ROA</w:t>
            </w:r>
          </w:p>
        </w:tc>
        <w:tc>
          <w:tcPr>
            <w:tcW w:w="630" w:type="dxa"/>
            <w:tcBorders>
              <w:top w:val="nil"/>
              <w:left w:val="nil"/>
              <w:bottom w:val="single" w:sz="6" w:space="0" w:color="auto"/>
              <w:right w:val="nil"/>
            </w:tcBorders>
            <w:vAlign w:val="center"/>
            <w:hideMark/>
          </w:tcPr>
          <w:p w14:paraId="085A353A" w14:textId="77777777" w:rsidR="00EC1C20" w:rsidRPr="00B44CFB" w:rsidRDefault="00EC1C20">
            <w:pPr>
              <w:autoSpaceDE w:val="0"/>
              <w:autoSpaceDN w:val="0"/>
              <w:adjustRightInd w:val="0"/>
              <w:spacing w:after="0"/>
              <w:ind w:right="20"/>
              <w:jc w:val="center"/>
              <w:rPr>
                <w:b/>
                <w:bCs/>
                <w:color w:val="000000"/>
                <w:sz w:val="16"/>
                <w:szCs w:val="16"/>
              </w:rPr>
            </w:pPr>
            <w:r w:rsidRPr="00B44CFB">
              <w:rPr>
                <w:b/>
                <w:bCs/>
                <w:color w:val="000000"/>
                <w:sz w:val="16"/>
                <w:szCs w:val="16"/>
              </w:rPr>
              <w:t>RET</w:t>
            </w:r>
          </w:p>
        </w:tc>
        <w:tc>
          <w:tcPr>
            <w:tcW w:w="720" w:type="dxa"/>
            <w:tcBorders>
              <w:top w:val="nil"/>
              <w:left w:val="nil"/>
              <w:bottom w:val="single" w:sz="6" w:space="0" w:color="auto"/>
              <w:right w:val="nil"/>
            </w:tcBorders>
            <w:vAlign w:val="center"/>
            <w:hideMark/>
          </w:tcPr>
          <w:p w14:paraId="07B8A52D" w14:textId="77777777" w:rsidR="00EC1C20" w:rsidRPr="00B44CFB" w:rsidRDefault="00EC1C20">
            <w:pPr>
              <w:autoSpaceDE w:val="0"/>
              <w:autoSpaceDN w:val="0"/>
              <w:adjustRightInd w:val="0"/>
              <w:spacing w:after="0"/>
              <w:ind w:right="20"/>
              <w:jc w:val="center"/>
              <w:rPr>
                <w:b/>
                <w:bCs/>
                <w:color w:val="000000"/>
                <w:sz w:val="16"/>
                <w:szCs w:val="16"/>
              </w:rPr>
            </w:pPr>
            <w:r w:rsidRPr="00B44CFB">
              <w:rPr>
                <w:b/>
                <w:bCs/>
                <w:color w:val="000000"/>
                <w:sz w:val="16"/>
                <w:szCs w:val="16"/>
              </w:rPr>
              <w:t>LNESG</w:t>
            </w:r>
          </w:p>
        </w:tc>
        <w:tc>
          <w:tcPr>
            <w:tcW w:w="630" w:type="dxa"/>
            <w:tcBorders>
              <w:top w:val="nil"/>
              <w:left w:val="nil"/>
              <w:bottom w:val="single" w:sz="6" w:space="0" w:color="auto"/>
              <w:right w:val="nil"/>
            </w:tcBorders>
            <w:vAlign w:val="center"/>
            <w:hideMark/>
          </w:tcPr>
          <w:p w14:paraId="51A55E2D" w14:textId="77777777" w:rsidR="00EC1C20" w:rsidRPr="00B44CFB" w:rsidRDefault="00EC1C20">
            <w:pPr>
              <w:autoSpaceDE w:val="0"/>
              <w:autoSpaceDN w:val="0"/>
              <w:adjustRightInd w:val="0"/>
              <w:spacing w:after="0"/>
              <w:ind w:right="20"/>
              <w:jc w:val="center"/>
              <w:rPr>
                <w:b/>
                <w:bCs/>
                <w:color w:val="000000"/>
                <w:sz w:val="16"/>
                <w:szCs w:val="16"/>
              </w:rPr>
            </w:pPr>
            <w:r w:rsidRPr="00B44CFB">
              <w:rPr>
                <w:b/>
                <w:bCs/>
                <w:color w:val="000000"/>
                <w:sz w:val="16"/>
                <w:szCs w:val="16"/>
              </w:rPr>
              <w:t>GB</w:t>
            </w:r>
          </w:p>
        </w:tc>
        <w:tc>
          <w:tcPr>
            <w:tcW w:w="720" w:type="dxa"/>
            <w:tcBorders>
              <w:top w:val="nil"/>
              <w:left w:val="nil"/>
              <w:bottom w:val="single" w:sz="6" w:space="0" w:color="auto"/>
              <w:right w:val="nil"/>
            </w:tcBorders>
            <w:vAlign w:val="center"/>
            <w:hideMark/>
          </w:tcPr>
          <w:p w14:paraId="501AD257" w14:textId="77777777" w:rsidR="00EC1C20" w:rsidRPr="00B44CFB" w:rsidRDefault="00EC1C20">
            <w:pPr>
              <w:autoSpaceDE w:val="0"/>
              <w:autoSpaceDN w:val="0"/>
              <w:adjustRightInd w:val="0"/>
              <w:spacing w:after="0"/>
              <w:ind w:right="20"/>
              <w:jc w:val="center"/>
              <w:rPr>
                <w:b/>
                <w:bCs/>
                <w:color w:val="000000"/>
                <w:sz w:val="16"/>
                <w:szCs w:val="16"/>
              </w:rPr>
            </w:pPr>
            <w:r w:rsidRPr="00B44CFB">
              <w:rPr>
                <w:b/>
                <w:bCs/>
                <w:color w:val="000000"/>
                <w:sz w:val="16"/>
                <w:szCs w:val="16"/>
              </w:rPr>
              <w:t>GOV</w:t>
            </w:r>
          </w:p>
        </w:tc>
        <w:tc>
          <w:tcPr>
            <w:tcW w:w="720" w:type="dxa"/>
            <w:tcBorders>
              <w:top w:val="nil"/>
              <w:left w:val="nil"/>
              <w:bottom w:val="single" w:sz="6" w:space="0" w:color="auto"/>
              <w:right w:val="nil"/>
            </w:tcBorders>
            <w:vAlign w:val="center"/>
            <w:hideMark/>
          </w:tcPr>
          <w:p w14:paraId="30044652" w14:textId="77777777" w:rsidR="00EC1C20" w:rsidRPr="00B44CFB" w:rsidRDefault="00EC1C20">
            <w:pPr>
              <w:autoSpaceDE w:val="0"/>
              <w:autoSpaceDN w:val="0"/>
              <w:adjustRightInd w:val="0"/>
              <w:spacing w:after="0"/>
              <w:ind w:right="20"/>
              <w:jc w:val="center"/>
              <w:rPr>
                <w:b/>
                <w:bCs/>
                <w:color w:val="000000"/>
                <w:sz w:val="16"/>
                <w:szCs w:val="16"/>
              </w:rPr>
            </w:pPr>
            <w:r w:rsidRPr="00B44CFB">
              <w:rPr>
                <w:b/>
                <w:bCs/>
                <w:color w:val="000000"/>
                <w:sz w:val="16"/>
                <w:szCs w:val="16"/>
              </w:rPr>
              <w:t>LNSIZE</w:t>
            </w:r>
          </w:p>
        </w:tc>
        <w:tc>
          <w:tcPr>
            <w:tcW w:w="630" w:type="dxa"/>
            <w:tcBorders>
              <w:top w:val="nil"/>
              <w:left w:val="nil"/>
              <w:bottom w:val="single" w:sz="6" w:space="0" w:color="auto"/>
              <w:right w:val="nil"/>
            </w:tcBorders>
            <w:vAlign w:val="center"/>
            <w:hideMark/>
          </w:tcPr>
          <w:p w14:paraId="2F0A9527" w14:textId="77777777" w:rsidR="00EC1C20" w:rsidRPr="00B44CFB" w:rsidRDefault="00EC1C20">
            <w:pPr>
              <w:autoSpaceDE w:val="0"/>
              <w:autoSpaceDN w:val="0"/>
              <w:adjustRightInd w:val="0"/>
              <w:spacing w:after="0"/>
              <w:ind w:right="20"/>
              <w:jc w:val="center"/>
              <w:rPr>
                <w:b/>
                <w:bCs/>
                <w:color w:val="000000"/>
                <w:sz w:val="16"/>
                <w:szCs w:val="16"/>
              </w:rPr>
            </w:pPr>
            <w:r w:rsidRPr="00B44CFB">
              <w:rPr>
                <w:b/>
                <w:bCs/>
                <w:color w:val="000000"/>
                <w:sz w:val="16"/>
                <w:szCs w:val="16"/>
              </w:rPr>
              <w:t>LEV</w:t>
            </w:r>
          </w:p>
        </w:tc>
        <w:tc>
          <w:tcPr>
            <w:tcW w:w="450" w:type="dxa"/>
            <w:tcBorders>
              <w:top w:val="nil"/>
              <w:left w:val="nil"/>
              <w:bottom w:val="single" w:sz="6" w:space="0" w:color="auto"/>
              <w:right w:val="nil"/>
            </w:tcBorders>
            <w:vAlign w:val="center"/>
            <w:hideMark/>
          </w:tcPr>
          <w:p w14:paraId="4408B915" w14:textId="77777777" w:rsidR="00EC1C20" w:rsidRPr="00B44CFB" w:rsidRDefault="00EC1C20">
            <w:pPr>
              <w:autoSpaceDE w:val="0"/>
              <w:autoSpaceDN w:val="0"/>
              <w:adjustRightInd w:val="0"/>
              <w:spacing w:after="0"/>
              <w:ind w:right="20"/>
              <w:jc w:val="center"/>
              <w:rPr>
                <w:b/>
                <w:bCs/>
                <w:color w:val="000000"/>
                <w:sz w:val="16"/>
                <w:szCs w:val="16"/>
              </w:rPr>
            </w:pPr>
            <w:r w:rsidRPr="00B44CFB">
              <w:rPr>
                <w:b/>
                <w:bCs/>
                <w:color w:val="000000"/>
                <w:sz w:val="16"/>
                <w:szCs w:val="16"/>
              </w:rPr>
              <w:t>IND</w:t>
            </w:r>
          </w:p>
        </w:tc>
      </w:tr>
      <w:tr w:rsidR="00EC1C20" w:rsidRPr="00EC1C20" w14:paraId="4B3AB31C" w14:textId="77777777" w:rsidTr="00EC1C20">
        <w:trPr>
          <w:trHeight w:val="220"/>
          <w:jc w:val="center"/>
        </w:trPr>
        <w:tc>
          <w:tcPr>
            <w:tcW w:w="540" w:type="dxa"/>
            <w:tcBorders>
              <w:top w:val="nil"/>
              <w:left w:val="nil"/>
              <w:bottom w:val="nil"/>
              <w:right w:val="single" w:sz="6" w:space="0" w:color="auto"/>
            </w:tcBorders>
            <w:vAlign w:val="center"/>
            <w:hideMark/>
          </w:tcPr>
          <w:p w14:paraId="05589AFC" w14:textId="77777777" w:rsidR="00EC1C20" w:rsidRPr="00EC1C20" w:rsidRDefault="00EC1C20" w:rsidP="00EC1C20">
            <w:pPr>
              <w:autoSpaceDE w:val="0"/>
              <w:autoSpaceDN w:val="0"/>
              <w:adjustRightInd w:val="0"/>
              <w:spacing w:after="0"/>
              <w:jc w:val="left"/>
              <w:rPr>
                <w:color w:val="000000"/>
                <w:sz w:val="16"/>
                <w:szCs w:val="16"/>
              </w:rPr>
            </w:pPr>
            <w:r w:rsidRPr="00EC1C20">
              <w:rPr>
                <w:color w:val="000000"/>
                <w:sz w:val="16"/>
                <w:szCs w:val="16"/>
              </w:rPr>
              <w:t>RET </w:t>
            </w:r>
          </w:p>
        </w:tc>
        <w:tc>
          <w:tcPr>
            <w:tcW w:w="720" w:type="dxa"/>
            <w:tcBorders>
              <w:top w:val="nil"/>
              <w:left w:val="single" w:sz="6" w:space="0" w:color="auto"/>
              <w:bottom w:val="nil"/>
              <w:right w:val="nil"/>
            </w:tcBorders>
            <w:vAlign w:val="center"/>
            <w:hideMark/>
          </w:tcPr>
          <w:p w14:paraId="333E79F5"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0.035</w:t>
            </w:r>
          </w:p>
        </w:tc>
        <w:tc>
          <w:tcPr>
            <w:tcW w:w="630" w:type="dxa"/>
            <w:vAlign w:val="center"/>
            <w:hideMark/>
          </w:tcPr>
          <w:p w14:paraId="7ED97F9F"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1.000</w:t>
            </w:r>
          </w:p>
        </w:tc>
        <w:tc>
          <w:tcPr>
            <w:tcW w:w="720" w:type="dxa"/>
            <w:vAlign w:val="center"/>
          </w:tcPr>
          <w:p w14:paraId="7901EBDF" w14:textId="77777777" w:rsidR="00EC1C20" w:rsidRPr="00EC1C20" w:rsidRDefault="00EC1C20">
            <w:pPr>
              <w:autoSpaceDE w:val="0"/>
              <w:autoSpaceDN w:val="0"/>
              <w:adjustRightInd w:val="0"/>
              <w:spacing w:after="0"/>
              <w:ind w:right="20"/>
              <w:rPr>
                <w:color w:val="000000"/>
                <w:sz w:val="16"/>
                <w:szCs w:val="16"/>
              </w:rPr>
            </w:pPr>
          </w:p>
        </w:tc>
        <w:tc>
          <w:tcPr>
            <w:tcW w:w="630" w:type="dxa"/>
            <w:vAlign w:val="center"/>
          </w:tcPr>
          <w:p w14:paraId="59C2C69E" w14:textId="77777777" w:rsidR="00EC1C20" w:rsidRPr="00EC1C20" w:rsidRDefault="00EC1C20">
            <w:pPr>
              <w:autoSpaceDE w:val="0"/>
              <w:autoSpaceDN w:val="0"/>
              <w:adjustRightInd w:val="0"/>
              <w:spacing w:after="0"/>
              <w:ind w:right="20"/>
              <w:rPr>
                <w:color w:val="000000"/>
                <w:sz w:val="16"/>
                <w:szCs w:val="16"/>
              </w:rPr>
            </w:pPr>
          </w:p>
        </w:tc>
        <w:tc>
          <w:tcPr>
            <w:tcW w:w="720" w:type="dxa"/>
            <w:vAlign w:val="center"/>
          </w:tcPr>
          <w:p w14:paraId="204A77F0" w14:textId="77777777" w:rsidR="00EC1C20" w:rsidRPr="00EC1C20" w:rsidRDefault="00EC1C20">
            <w:pPr>
              <w:autoSpaceDE w:val="0"/>
              <w:autoSpaceDN w:val="0"/>
              <w:adjustRightInd w:val="0"/>
              <w:spacing w:after="0"/>
              <w:ind w:right="20"/>
              <w:rPr>
                <w:color w:val="000000"/>
                <w:sz w:val="16"/>
                <w:szCs w:val="16"/>
              </w:rPr>
            </w:pPr>
          </w:p>
        </w:tc>
        <w:tc>
          <w:tcPr>
            <w:tcW w:w="720" w:type="dxa"/>
            <w:vAlign w:val="center"/>
          </w:tcPr>
          <w:p w14:paraId="63E7F22D" w14:textId="77777777" w:rsidR="00EC1C20" w:rsidRPr="00EC1C20" w:rsidRDefault="00EC1C20">
            <w:pPr>
              <w:autoSpaceDE w:val="0"/>
              <w:autoSpaceDN w:val="0"/>
              <w:adjustRightInd w:val="0"/>
              <w:spacing w:after="0"/>
              <w:ind w:right="20"/>
              <w:rPr>
                <w:color w:val="000000"/>
                <w:sz w:val="16"/>
                <w:szCs w:val="16"/>
              </w:rPr>
            </w:pPr>
          </w:p>
        </w:tc>
        <w:tc>
          <w:tcPr>
            <w:tcW w:w="630" w:type="dxa"/>
            <w:vAlign w:val="center"/>
          </w:tcPr>
          <w:p w14:paraId="544286D5" w14:textId="77777777" w:rsidR="00EC1C20" w:rsidRPr="00EC1C20" w:rsidRDefault="00EC1C20">
            <w:pPr>
              <w:autoSpaceDE w:val="0"/>
              <w:autoSpaceDN w:val="0"/>
              <w:adjustRightInd w:val="0"/>
              <w:spacing w:after="0"/>
              <w:ind w:right="20"/>
              <w:rPr>
                <w:color w:val="000000"/>
                <w:sz w:val="16"/>
                <w:szCs w:val="16"/>
              </w:rPr>
            </w:pPr>
          </w:p>
        </w:tc>
        <w:tc>
          <w:tcPr>
            <w:tcW w:w="450" w:type="dxa"/>
            <w:vAlign w:val="center"/>
          </w:tcPr>
          <w:p w14:paraId="173B7518" w14:textId="77777777" w:rsidR="00EC1C20" w:rsidRPr="00EC1C20" w:rsidRDefault="00EC1C20">
            <w:pPr>
              <w:autoSpaceDE w:val="0"/>
              <w:autoSpaceDN w:val="0"/>
              <w:adjustRightInd w:val="0"/>
              <w:spacing w:after="0"/>
              <w:ind w:right="20"/>
              <w:rPr>
                <w:color w:val="000000"/>
                <w:sz w:val="16"/>
                <w:szCs w:val="16"/>
              </w:rPr>
            </w:pPr>
          </w:p>
        </w:tc>
      </w:tr>
      <w:tr w:rsidR="00EC1C20" w:rsidRPr="00EC1C20" w14:paraId="18F45D0F" w14:textId="77777777" w:rsidTr="00EC1C20">
        <w:trPr>
          <w:trHeight w:val="220"/>
          <w:jc w:val="center"/>
        </w:trPr>
        <w:tc>
          <w:tcPr>
            <w:tcW w:w="540" w:type="dxa"/>
            <w:tcBorders>
              <w:top w:val="nil"/>
              <w:left w:val="nil"/>
              <w:bottom w:val="nil"/>
              <w:right w:val="single" w:sz="6" w:space="0" w:color="auto"/>
            </w:tcBorders>
            <w:vAlign w:val="center"/>
            <w:hideMark/>
          </w:tcPr>
          <w:p w14:paraId="4C22F188" w14:textId="77777777" w:rsidR="00EC1C20" w:rsidRDefault="00EC1C20" w:rsidP="00EC1C20">
            <w:pPr>
              <w:autoSpaceDE w:val="0"/>
              <w:autoSpaceDN w:val="0"/>
              <w:adjustRightInd w:val="0"/>
              <w:spacing w:after="0"/>
              <w:jc w:val="left"/>
              <w:rPr>
                <w:color w:val="000000"/>
                <w:sz w:val="16"/>
                <w:szCs w:val="16"/>
              </w:rPr>
            </w:pPr>
            <w:r w:rsidRPr="00EC1C20">
              <w:rPr>
                <w:color w:val="000000"/>
                <w:sz w:val="16"/>
                <w:szCs w:val="16"/>
              </w:rPr>
              <w:t>LN</w:t>
            </w:r>
          </w:p>
          <w:p w14:paraId="25F610C4" w14:textId="5CD40078" w:rsidR="00EC1C20" w:rsidRPr="00EC1C20" w:rsidRDefault="00EC1C20" w:rsidP="00EC1C20">
            <w:pPr>
              <w:autoSpaceDE w:val="0"/>
              <w:autoSpaceDN w:val="0"/>
              <w:adjustRightInd w:val="0"/>
              <w:spacing w:after="0"/>
              <w:jc w:val="left"/>
              <w:rPr>
                <w:color w:val="000000"/>
                <w:sz w:val="16"/>
                <w:szCs w:val="16"/>
              </w:rPr>
            </w:pPr>
            <w:r w:rsidRPr="00EC1C20">
              <w:rPr>
                <w:color w:val="000000"/>
                <w:sz w:val="16"/>
                <w:szCs w:val="16"/>
              </w:rPr>
              <w:t>ESG </w:t>
            </w:r>
          </w:p>
        </w:tc>
        <w:tc>
          <w:tcPr>
            <w:tcW w:w="720" w:type="dxa"/>
            <w:tcBorders>
              <w:top w:val="nil"/>
              <w:left w:val="single" w:sz="6" w:space="0" w:color="auto"/>
              <w:bottom w:val="nil"/>
              <w:right w:val="nil"/>
            </w:tcBorders>
            <w:vAlign w:val="center"/>
            <w:hideMark/>
          </w:tcPr>
          <w:p w14:paraId="6BEDEFA4"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-0.034</w:t>
            </w:r>
          </w:p>
        </w:tc>
        <w:tc>
          <w:tcPr>
            <w:tcW w:w="630" w:type="dxa"/>
            <w:vAlign w:val="center"/>
            <w:hideMark/>
          </w:tcPr>
          <w:p w14:paraId="220F4883"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0.096</w:t>
            </w:r>
          </w:p>
        </w:tc>
        <w:tc>
          <w:tcPr>
            <w:tcW w:w="720" w:type="dxa"/>
            <w:vAlign w:val="center"/>
            <w:hideMark/>
          </w:tcPr>
          <w:p w14:paraId="3F5D8CA7"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1.000</w:t>
            </w:r>
          </w:p>
        </w:tc>
        <w:tc>
          <w:tcPr>
            <w:tcW w:w="630" w:type="dxa"/>
            <w:vAlign w:val="center"/>
          </w:tcPr>
          <w:p w14:paraId="02E9ABF4" w14:textId="77777777" w:rsidR="00EC1C20" w:rsidRPr="00EC1C20" w:rsidRDefault="00EC1C20">
            <w:pPr>
              <w:autoSpaceDE w:val="0"/>
              <w:autoSpaceDN w:val="0"/>
              <w:adjustRightInd w:val="0"/>
              <w:spacing w:after="0"/>
              <w:ind w:right="20"/>
              <w:rPr>
                <w:color w:val="000000"/>
                <w:sz w:val="16"/>
                <w:szCs w:val="16"/>
              </w:rPr>
            </w:pPr>
          </w:p>
        </w:tc>
        <w:tc>
          <w:tcPr>
            <w:tcW w:w="720" w:type="dxa"/>
            <w:vAlign w:val="center"/>
          </w:tcPr>
          <w:p w14:paraId="5976557A" w14:textId="77777777" w:rsidR="00EC1C20" w:rsidRPr="00EC1C20" w:rsidRDefault="00EC1C20">
            <w:pPr>
              <w:autoSpaceDE w:val="0"/>
              <w:autoSpaceDN w:val="0"/>
              <w:adjustRightInd w:val="0"/>
              <w:spacing w:after="0"/>
              <w:ind w:right="20"/>
              <w:rPr>
                <w:color w:val="000000"/>
                <w:sz w:val="16"/>
                <w:szCs w:val="16"/>
              </w:rPr>
            </w:pPr>
          </w:p>
        </w:tc>
        <w:tc>
          <w:tcPr>
            <w:tcW w:w="720" w:type="dxa"/>
            <w:vAlign w:val="center"/>
          </w:tcPr>
          <w:p w14:paraId="2BBA1F1D" w14:textId="77777777" w:rsidR="00EC1C20" w:rsidRPr="00EC1C20" w:rsidRDefault="00EC1C20">
            <w:pPr>
              <w:autoSpaceDE w:val="0"/>
              <w:autoSpaceDN w:val="0"/>
              <w:adjustRightInd w:val="0"/>
              <w:spacing w:after="0"/>
              <w:ind w:right="20"/>
              <w:rPr>
                <w:color w:val="000000"/>
                <w:sz w:val="16"/>
                <w:szCs w:val="16"/>
              </w:rPr>
            </w:pPr>
          </w:p>
        </w:tc>
        <w:tc>
          <w:tcPr>
            <w:tcW w:w="630" w:type="dxa"/>
            <w:vAlign w:val="center"/>
          </w:tcPr>
          <w:p w14:paraId="1E485455" w14:textId="77777777" w:rsidR="00EC1C20" w:rsidRPr="00EC1C20" w:rsidRDefault="00EC1C20">
            <w:pPr>
              <w:autoSpaceDE w:val="0"/>
              <w:autoSpaceDN w:val="0"/>
              <w:adjustRightInd w:val="0"/>
              <w:spacing w:after="0"/>
              <w:ind w:right="20"/>
              <w:rPr>
                <w:color w:val="000000"/>
                <w:sz w:val="16"/>
                <w:szCs w:val="16"/>
              </w:rPr>
            </w:pPr>
          </w:p>
        </w:tc>
        <w:tc>
          <w:tcPr>
            <w:tcW w:w="450" w:type="dxa"/>
            <w:vAlign w:val="center"/>
          </w:tcPr>
          <w:p w14:paraId="57D80E94" w14:textId="77777777" w:rsidR="00EC1C20" w:rsidRPr="00EC1C20" w:rsidRDefault="00EC1C20">
            <w:pPr>
              <w:autoSpaceDE w:val="0"/>
              <w:autoSpaceDN w:val="0"/>
              <w:adjustRightInd w:val="0"/>
              <w:spacing w:after="0"/>
              <w:ind w:right="20"/>
              <w:rPr>
                <w:color w:val="000000"/>
                <w:sz w:val="16"/>
                <w:szCs w:val="16"/>
              </w:rPr>
            </w:pPr>
          </w:p>
        </w:tc>
      </w:tr>
      <w:tr w:rsidR="00EC1C20" w:rsidRPr="00EC1C20" w14:paraId="4B7A4E2E" w14:textId="77777777" w:rsidTr="00EC1C20">
        <w:trPr>
          <w:trHeight w:val="220"/>
          <w:jc w:val="center"/>
        </w:trPr>
        <w:tc>
          <w:tcPr>
            <w:tcW w:w="540" w:type="dxa"/>
            <w:tcBorders>
              <w:top w:val="nil"/>
              <w:left w:val="nil"/>
              <w:bottom w:val="nil"/>
              <w:right w:val="single" w:sz="6" w:space="0" w:color="auto"/>
            </w:tcBorders>
            <w:vAlign w:val="center"/>
            <w:hideMark/>
          </w:tcPr>
          <w:p w14:paraId="71A2C058" w14:textId="77777777" w:rsidR="00EC1C20" w:rsidRPr="00EC1C20" w:rsidRDefault="00EC1C20" w:rsidP="00EC1C20">
            <w:pPr>
              <w:autoSpaceDE w:val="0"/>
              <w:autoSpaceDN w:val="0"/>
              <w:adjustRightInd w:val="0"/>
              <w:spacing w:after="0"/>
              <w:jc w:val="left"/>
              <w:rPr>
                <w:color w:val="000000"/>
                <w:sz w:val="16"/>
                <w:szCs w:val="16"/>
              </w:rPr>
            </w:pPr>
            <w:r w:rsidRPr="00EC1C20">
              <w:rPr>
                <w:color w:val="000000"/>
                <w:sz w:val="16"/>
                <w:szCs w:val="16"/>
              </w:rPr>
              <w:t>GB </w:t>
            </w:r>
          </w:p>
        </w:tc>
        <w:tc>
          <w:tcPr>
            <w:tcW w:w="720" w:type="dxa"/>
            <w:tcBorders>
              <w:top w:val="nil"/>
              <w:left w:val="single" w:sz="6" w:space="0" w:color="auto"/>
              <w:bottom w:val="nil"/>
              <w:right w:val="nil"/>
            </w:tcBorders>
            <w:vAlign w:val="center"/>
            <w:hideMark/>
          </w:tcPr>
          <w:p w14:paraId="0BB9DD25"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-0.075</w:t>
            </w:r>
          </w:p>
        </w:tc>
        <w:tc>
          <w:tcPr>
            <w:tcW w:w="630" w:type="dxa"/>
            <w:vAlign w:val="center"/>
            <w:hideMark/>
          </w:tcPr>
          <w:p w14:paraId="74657A94"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-0.029</w:t>
            </w:r>
          </w:p>
        </w:tc>
        <w:tc>
          <w:tcPr>
            <w:tcW w:w="720" w:type="dxa"/>
            <w:vAlign w:val="center"/>
            <w:hideMark/>
          </w:tcPr>
          <w:p w14:paraId="741C6B0F"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0.057</w:t>
            </w:r>
          </w:p>
        </w:tc>
        <w:tc>
          <w:tcPr>
            <w:tcW w:w="630" w:type="dxa"/>
            <w:vAlign w:val="center"/>
            <w:hideMark/>
          </w:tcPr>
          <w:p w14:paraId="014422DA"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1.000</w:t>
            </w:r>
          </w:p>
        </w:tc>
        <w:tc>
          <w:tcPr>
            <w:tcW w:w="720" w:type="dxa"/>
            <w:vAlign w:val="center"/>
          </w:tcPr>
          <w:p w14:paraId="2DF9B72D" w14:textId="77777777" w:rsidR="00EC1C20" w:rsidRPr="00EC1C20" w:rsidRDefault="00EC1C20">
            <w:pPr>
              <w:autoSpaceDE w:val="0"/>
              <w:autoSpaceDN w:val="0"/>
              <w:adjustRightInd w:val="0"/>
              <w:spacing w:after="0"/>
              <w:ind w:right="20"/>
              <w:rPr>
                <w:color w:val="000000"/>
                <w:sz w:val="16"/>
                <w:szCs w:val="16"/>
              </w:rPr>
            </w:pPr>
          </w:p>
        </w:tc>
        <w:tc>
          <w:tcPr>
            <w:tcW w:w="720" w:type="dxa"/>
            <w:vAlign w:val="center"/>
          </w:tcPr>
          <w:p w14:paraId="5FF4F2BE" w14:textId="77777777" w:rsidR="00EC1C20" w:rsidRPr="00EC1C20" w:rsidRDefault="00EC1C20">
            <w:pPr>
              <w:autoSpaceDE w:val="0"/>
              <w:autoSpaceDN w:val="0"/>
              <w:adjustRightInd w:val="0"/>
              <w:spacing w:after="0"/>
              <w:ind w:right="20"/>
              <w:rPr>
                <w:color w:val="000000"/>
                <w:sz w:val="16"/>
                <w:szCs w:val="16"/>
              </w:rPr>
            </w:pPr>
          </w:p>
        </w:tc>
        <w:tc>
          <w:tcPr>
            <w:tcW w:w="630" w:type="dxa"/>
            <w:vAlign w:val="center"/>
          </w:tcPr>
          <w:p w14:paraId="53114D9C" w14:textId="77777777" w:rsidR="00EC1C20" w:rsidRPr="00EC1C20" w:rsidRDefault="00EC1C20">
            <w:pPr>
              <w:autoSpaceDE w:val="0"/>
              <w:autoSpaceDN w:val="0"/>
              <w:adjustRightInd w:val="0"/>
              <w:spacing w:after="0"/>
              <w:ind w:right="20"/>
              <w:rPr>
                <w:color w:val="000000"/>
                <w:sz w:val="16"/>
                <w:szCs w:val="16"/>
              </w:rPr>
            </w:pPr>
          </w:p>
        </w:tc>
        <w:tc>
          <w:tcPr>
            <w:tcW w:w="450" w:type="dxa"/>
            <w:vAlign w:val="center"/>
          </w:tcPr>
          <w:p w14:paraId="59DB2F17" w14:textId="77777777" w:rsidR="00EC1C20" w:rsidRPr="00EC1C20" w:rsidRDefault="00EC1C20">
            <w:pPr>
              <w:autoSpaceDE w:val="0"/>
              <w:autoSpaceDN w:val="0"/>
              <w:adjustRightInd w:val="0"/>
              <w:spacing w:after="0"/>
              <w:ind w:right="20"/>
              <w:rPr>
                <w:color w:val="000000"/>
                <w:sz w:val="16"/>
                <w:szCs w:val="16"/>
              </w:rPr>
            </w:pPr>
          </w:p>
        </w:tc>
      </w:tr>
      <w:tr w:rsidR="00EC1C20" w:rsidRPr="00EC1C20" w14:paraId="12EAD1B4" w14:textId="77777777" w:rsidTr="00EC1C20">
        <w:trPr>
          <w:trHeight w:val="220"/>
          <w:jc w:val="center"/>
        </w:trPr>
        <w:tc>
          <w:tcPr>
            <w:tcW w:w="540" w:type="dxa"/>
            <w:tcBorders>
              <w:top w:val="nil"/>
              <w:left w:val="nil"/>
              <w:bottom w:val="nil"/>
              <w:right w:val="single" w:sz="6" w:space="0" w:color="auto"/>
            </w:tcBorders>
            <w:vAlign w:val="center"/>
            <w:hideMark/>
          </w:tcPr>
          <w:p w14:paraId="2E161932" w14:textId="77777777" w:rsidR="00EC1C20" w:rsidRPr="00EC1C20" w:rsidRDefault="00EC1C20" w:rsidP="00EC1C20">
            <w:pPr>
              <w:autoSpaceDE w:val="0"/>
              <w:autoSpaceDN w:val="0"/>
              <w:adjustRightInd w:val="0"/>
              <w:spacing w:after="0"/>
              <w:jc w:val="left"/>
              <w:rPr>
                <w:color w:val="000000"/>
                <w:sz w:val="16"/>
                <w:szCs w:val="16"/>
              </w:rPr>
            </w:pPr>
            <w:r w:rsidRPr="00EC1C20">
              <w:rPr>
                <w:color w:val="000000"/>
                <w:sz w:val="16"/>
                <w:szCs w:val="16"/>
              </w:rPr>
              <w:t>GOV </w:t>
            </w:r>
          </w:p>
        </w:tc>
        <w:tc>
          <w:tcPr>
            <w:tcW w:w="720" w:type="dxa"/>
            <w:tcBorders>
              <w:top w:val="nil"/>
              <w:left w:val="single" w:sz="6" w:space="0" w:color="auto"/>
              <w:bottom w:val="nil"/>
              <w:right w:val="nil"/>
            </w:tcBorders>
            <w:vAlign w:val="center"/>
            <w:hideMark/>
          </w:tcPr>
          <w:p w14:paraId="20D16EE1"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0.022</w:t>
            </w:r>
          </w:p>
        </w:tc>
        <w:tc>
          <w:tcPr>
            <w:tcW w:w="630" w:type="dxa"/>
            <w:vAlign w:val="center"/>
            <w:hideMark/>
          </w:tcPr>
          <w:p w14:paraId="1D976DCE"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-0.109*</w:t>
            </w:r>
          </w:p>
        </w:tc>
        <w:tc>
          <w:tcPr>
            <w:tcW w:w="720" w:type="dxa"/>
            <w:vAlign w:val="center"/>
            <w:hideMark/>
          </w:tcPr>
          <w:p w14:paraId="555C36ED"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0.105</w:t>
            </w:r>
          </w:p>
        </w:tc>
        <w:tc>
          <w:tcPr>
            <w:tcW w:w="630" w:type="dxa"/>
            <w:vAlign w:val="center"/>
            <w:hideMark/>
          </w:tcPr>
          <w:p w14:paraId="4DB3F9B0"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-0.012</w:t>
            </w:r>
          </w:p>
        </w:tc>
        <w:tc>
          <w:tcPr>
            <w:tcW w:w="720" w:type="dxa"/>
            <w:vAlign w:val="center"/>
            <w:hideMark/>
          </w:tcPr>
          <w:p w14:paraId="0C7EBBBE"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1.000</w:t>
            </w:r>
          </w:p>
        </w:tc>
        <w:tc>
          <w:tcPr>
            <w:tcW w:w="720" w:type="dxa"/>
            <w:vAlign w:val="center"/>
          </w:tcPr>
          <w:p w14:paraId="74F52397" w14:textId="77777777" w:rsidR="00EC1C20" w:rsidRPr="00EC1C20" w:rsidRDefault="00EC1C20">
            <w:pPr>
              <w:autoSpaceDE w:val="0"/>
              <w:autoSpaceDN w:val="0"/>
              <w:adjustRightInd w:val="0"/>
              <w:spacing w:after="0"/>
              <w:ind w:right="20"/>
              <w:rPr>
                <w:color w:val="000000"/>
                <w:sz w:val="16"/>
                <w:szCs w:val="16"/>
              </w:rPr>
            </w:pPr>
          </w:p>
        </w:tc>
        <w:tc>
          <w:tcPr>
            <w:tcW w:w="630" w:type="dxa"/>
            <w:vAlign w:val="center"/>
          </w:tcPr>
          <w:p w14:paraId="7B634134" w14:textId="77777777" w:rsidR="00EC1C20" w:rsidRPr="00EC1C20" w:rsidRDefault="00EC1C20">
            <w:pPr>
              <w:autoSpaceDE w:val="0"/>
              <w:autoSpaceDN w:val="0"/>
              <w:adjustRightInd w:val="0"/>
              <w:spacing w:after="0"/>
              <w:ind w:right="20"/>
              <w:rPr>
                <w:color w:val="000000"/>
                <w:sz w:val="16"/>
                <w:szCs w:val="16"/>
              </w:rPr>
            </w:pPr>
          </w:p>
        </w:tc>
        <w:tc>
          <w:tcPr>
            <w:tcW w:w="450" w:type="dxa"/>
            <w:vAlign w:val="center"/>
          </w:tcPr>
          <w:p w14:paraId="29C950B8" w14:textId="77777777" w:rsidR="00EC1C20" w:rsidRPr="00EC1C20" w:rsidRDefault="00EC1C20">
            <w:pPr>
              <w:autoSpaceDE w:val="0"/>
              <w:autoSpaceDN w:val="0"/>
              <w:adjustRightInd w:val="0"/>
              <w:spacing w:after="0"/>
              <w:ind w:right="20"/>
              <w:rPr>
                <w:color w:val="000000"/>
                <w:sz w:val="16"/>
                <w:szCs w:val="16"/>
              </w:rPr>
            </w:pPr>
          </w:p>
        </w:tc>
      </w:tr>
      <w:tr w:rsidR="00EC1C20" w:rsidRPr="00EC1C20" w14:paraId="3B82A7D8" w14:textId="77777777" w:rsidTr="00EC1C20">
        <w:trPr>
          <w:trHeight w:val="220"/>
          <w:jc w:val="center"/>
        </w:trPr>
        <w:tc>
          <w:tcPr>
            <w:tcW w:w="540" w:type="dxa"/>
            <w:tcBorders>
              <w:top w:val="nil"/>
              <w:left w:val="nil"/>
              <w:bottom w:val="nil"/>
              <w:right w:val="single" w:sz="6" w:space="0" w:color="auto"/>
            </w:tcBorders>
            <w:vAlign w:val="center"/>
            <w:hideMark/>
          </w:tcPr>
          <w:p w14:paraId="4A29A952" w14:textId="77777777" w:rsidR="00EC1C20" w:rsidRDefault="00EC1C20" w:rsidP="00EC1C20">
            <w:pPr>
              <w:autoSpaceDE w:val="0"/>
              <w:autoSpaceDN w:val="0"/>
              <w:adjustRightInd w:val="0"/>
              <w:spacing w:after="0"/>
              <w:jc w:val="left"/>
              <w:rPr>
                <w:color w:val="000000"/>
                <w:sz w:val="16"/>
                <w:szCs w:val="16"/>
              </w:rPr>
            </w:pPr>
            <w:r w:rsidRPr="00EC1C20">
              <w:rPr>
                <w:color w:val="000000"/>
                <w:sz w:val="16"/>
                <w:szCs w:val="16"/>
              </w:rPr>
              <w:t>LN</w:t>
            </w:r>
          </w:p>
          <w:p w14:paraId="557BAEB2" w14:textId="7398DB80" w:rsidR="00EC1C20" w:rsidRPr="00EC1C20" w:rsidRDefault="00EC1C20" w:rsidP="00EC1C20">
            <w:pPr>
              <w:autoSpaceDE w:val="0"/>
              <w:autoSpaceDN w:val="0"/>
              <w:adjustRightInd w:val="0"/>
              <w:spacing w:after="0"/>
              <w:jc w:val="left"/>
              <w:rPr>
                <w:color w:val="000000"/>
                <w:sz w:val="16"/>
                <w:szCs w:val="16"/>
              </w:rPr>
            </w:pPr>
            <w:r w:rsidRPr="00EC1C20">
              <w:rPr>
                <w:color w:val="000000"/>
                <w:sz w:val="16"/>
                <w:szCs w:val="16"/>
              </w:rPr>
              <w:t>SIZE </w:t>
            </w:r>
          </w:p>
        </w:tc>
        <w:tc>
          <w:tcPr>
            <w:tcW w:w="720" w:type="dxa"/>
            <w:tcBorders>
              <w:top w:val="nil"/>
              <w:left w:val="single" w:sz="6" w:space="0" w:color="auto"/>
              <w:bottom w:val="nil"/>
              <w:right w:val="nil"/>
            </w:tcBorders>
            <w:vAlign w:val="center"/>
            <w:hideMark/>
          </w:tcPr>
          <w:p w14:paraId="04E9C75F"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-0.146**</w:t>
            </w:r>
          </w:p>
        </w:tc>
        <w:tc>
          <w:tcPr>
            <w:tcW w:w="630" w:type="dxa"/>
            <w:vAlign w:val="center"/>
            <w:hideMark/>
          </w:tcPr>
          <w:p w14:paraId="17923FC9"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0.069</w:t>
            </w:r>
          </w:p>
        </w:tc>
        <w:tc>
          <w:tcPr>
            <w:tcW w:w="720" w:type="dxa"/>
            <w:vAlign w:val="center"/>
            <w:hideMark/>
          </w:tcPr>
          <w:p w14:paraId="60A5C54E"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0.101</w:t>
            </w:r>
          </w:p>
        </w:tc>
        <w:tc>
          <w:tcPr>
            <w:tcW w:w="630" w:type="dxa"/>
            <w:vAlign w:val="center"/>
            <w:hideMark/>
          </w:tcPr>
          <w:p w14:paraId="528F1F85"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-0.053</w:t>
            </w:r>
          </w:p>
        </w:tc>
        <w:tc>
          <w:tcPr>
            <w:tcW w:w="720" w:type="dxa"/>
            <w:vAlign w:val="center"/>
            <w:hideMark/>
          </w:tcPr>
          <w:p w14:paraId="57B91784"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0.206***</w:t>
            </w:r>
          </w:p>
        </w:tc>
        <w:tc>
          <w:tcPr>
            <w:tcW w:w="720" w:type="dxa"/>
            <w:vAlign w:val="center"/>
            <w:hideMark/>
          </w:tcPr>
          <w:p w14:paraId="72C819DD"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1.000</w:t>
            </w:r>
          </w:p>
        </w:tc>
        <w:tc>
          <w:tcPr>
            <w:tcW w:w="630" w:type="dxa"/>
            <w:vAlign w:val="center"/>
          </w:tcPr>
          <w:p w14:paraId="0195173E" w14:textId="77777777" w:rsidR="00EC1C20" w:rsidRPr="00EC1C20" w:rsidRDefault="00EC1C20">
            <w:pPr>
              <w:autoSpaceDE w:val="0"/>
              <w:autoSpaceDN w:val="0"/>
              <w:adjustRightInd w:val="0"/>
              <w:spacing w:after="0"/>
              <w:ind w:right="20"/>
              <w:rPr>
                <w:color w:val="000000"/>
                <w:sz w:val="16"/>
                <w:szCs w:val="16"/>
              </w:rPr>
            </w:pPr>
          </w:p>
        </w:tc>
        <w:tc>
          <w:tcPr>
            <w:tcW w:w="450" w:type="dxa"/>
            <w:vAlign w:val="center"/>
          </w:tcPr>
          <w:p w14:paraId="4FA964FD" w14:textId="77777777" w:rsidR="00EC1C20" w:rsidRPr="00EC1C20" w:rsidRDefault="00EC1C20">
            <w:pPr>
              <w:autoSpaceDE w:val="0"/>
              <w:autoSpaceDN w:val="0"/>
              <w:adjustRightInd w:val="0"/>
              <w:spacing w:after="0"/>
              <w:ind w:right="20"/>
              <w:rPr>
                <w:color w:val="000000"/>
                <w:sz w:val="16"/>
                <w:szCs w:val="16"/>
              </w:rPr>
            </w:pPr>
          </w:p>
        </w:tc>
      </w:tr>
      <w:tr w:rsidR="00EC1C20" w:rsidRPr="00EC1C20" w14:paraId="4AEEA436" w14:textId="77777777" w:rsidTr="00EC1C20">
        <w:trPr>
          <w:trHeight w:val="220"/>
          <w:jc w:val="center"/>
        </w:trPr>
        <w:tc>
          <w:tcPr>
            <w:tcW w:w="540" w:type="dxa"/>
            <w:tcBorders>
              <w:top w:val="nil"/>
              <w:left w:val="nil"/>
              <w:bottom w:val="nil"/>
              <w:right w:val="single" w:sz="6" w:space="0" w:color="auto"/>
            </w:tcBorders>
            <w:vAlign w:val="center"/>
            <w:hideMark/>
          </w:tcPr>
          <w:p w14:paraId="1E6DE542" w14:textId="77777777" w:rsidR="00EC1C20" w:rsidRPr="00EC1C20" w:rsidRDefault="00EC1C20" w:rsidP="00EC1C20">
            <w:pPr>
              <w:autoSpaceDE w:val="0"/>
              <w:autoSpaceDN w:val="0"/>
              <w:adjustRightInd w:val="0"/>
              <w:spacing w:after="0"/>
              <w:jc w:val="left"/>
              <w:rPr>
                <w:color w:val="000000"/>
                <w:sz w:val="16"/>
                <w:szCs w:val="16"/>
              </w:rPr>
            </w:pPr>
            <w:r w:rsidRPr="00EC1C20">
              <w:rPr>
                <w:color w:val="000000"/>
                <w:sz w:val="16"/>
                <w:szCs w:val="16"/>
              </w:rPr>
              <w:t>LEV </w:t>
            </w:r>
          </w:p>
        </w:tc>
        <w:tc>
          <w:tcPr>
            <w:tcW w:w="720" w:type="dxa"/>
            <w:tcBorders>
              <w:top w:val="nil"/>
              <w:left w:val="single" w:sz="6" w:space="0" w:color="auto"/>
              <w:bottom w:val="nil"/>
              <w:right w:val="nil"/>
            </w:tcBorders>
            <w:vAlign w:val="center"/>
            <w:hideMark/>
          </w:tcPr>
          <w:p w14:paraId="7900DC01"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-0.314***</w:t>
            </w:r>
          </w:p>
        </w:tc>
        <w:tc>
          <w:tcPr>
            <w:tcW w:w="630" w:type="dxa"/>
            <w:vAlign w:val="center"/>
            <w:hideMark/>
          </w:tcPr>
          <w:p w14:paraId="31051A0F"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-0.089</w:t>
            </w:r>
          </w:p>
        </w:tc>
        <w:tc>
          <w:tcPr>
            <w:tcW w:w="720" w:type="dxa"/>
            <w:vAlign w:val="center"/>
            <w:hideMark/>
          </w:tcPr>
          <w:p w14:paraId="2BC5897E"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0.143**</w:t>
            </w:r>
          </w:p>
        </w:tc>
        <w:tc>
          <w:tcPr>
            <w:tcW w:w="630" w:type="dxa"/>
            <w:vAlign w:val="center"/>
            <w:hideMark/>
          </w:tcPr>
          <w:p w14:paraId="54386AA8"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0.054</w:t>
            </w:r>
          </w:p>
        </w:tc>
        <w:tc>
          <w:tcPr>
            <w:tcW w:w="720" w:type="dxa"/>
            <w:vAlign w:val="center"/>
            <w:hideMark/>
          </w:tcPr>
          <w:p w14:paraId="13609E9A"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0.085</w:t>
            </w:r>
          </w:p>
        </w:tc>
        <w:tc>
          <w:tcPr>
            <w:tcW w:w="720" w:type="dxa"/>
            <w:vAlign w:val="center"/>
            <w:hideMark/>
          </w:tcPr>
          <w:p w14:paraId="7CB13F2D"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0.135**</w:t>
            </w:r>
          </w:p>
        </w:tc>
        <w:tc>
          <w:tcPr>
            <w:tcW w:w="630" w:type="dxa"/>
            <w:vAlign w:val="center"/>
            <w:hideMark/>
          </w:tcPr>
          <w:p w14:paraId="36D19B42"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1.000</w:t>
            </w:r>
          </w:p>
        </w:tc>
        <w:tc>
          <w:tcPr>
            <w:tcW w:w="450" w:type="dxa"/>
            <w:vAlign w:val="center"/>
          </w:tcPr>
          <w:p w14:paraId="223DFAD6" w14:textId="77777777" w:rsidR="00EC1C20" w:rsidRPr="00EC1C20" w:rsidRDefault="00EC1C20">
            <w:pPr>
              <w:autoSpaceDE w:val="0"/>
              <w:autoSpaceDN w:val="0"/>
              <w:adjustRightInd w:val="0"/>
              <w:spacing w:after="0"/>
              <w:ind w:right="20"/>
              <w:rPr>
                <w:color w:val="000000"/>
                <w:sz w:val="16"/>
                <w:szCs w:val="16"/>
              </w:rPr>
            </w:pPr>
          </w:p>
        </w:tc>
      </w:tr>
      <w:tr w:rsidR="00EC1C20" w:rsidRPr="00EC1C20" w14:paraId="4FBB5EC8" w14:textId="77777777" w:rsidTr="00EC1C20">
        <w:trPr>
          <w:trHeight w:val="220"/>
          <w:jc w:val="center"/>
        </w:trPr>
        <w:tc>
          <w:tcPr>
            <w:tcW w:w="540" w:type="dxa"/>
            <w:tcBorders>
              <w:top w:val="nil"/>
              <w:left w:val="nil"/>
              <w:bottom w:val="nil"/>
              <w:right w:val="single" w:sz="6" w:space="0" w:color="auto"/>
            </w:tcBorders>
            <w:vAlign w:val="center"/>
            <w:hideMark/>
          </w:tcPr>
          <w:p w14:paraId="401E9305" w14:textId="77777777" w:rsidR="00EC1C20" w:rsidRPr="00EC1C20" w:rsidRDefault="00EC1C20" w:rsidP="00EC1C20">
            <w:pPr>
              <w:autoSpaceDE w:val="0"/>
              <w:autoSpaceDN w:val="0"/>
              <w:adjustRightInd w:val="0"/>
              <w:spacing w:after="0"/>
              <w:jc w:val="left"/>
              <w:rPr>
                <w:color w:val="000000"/>
                <w:sz w:val="16"/>
                <w:szCs w:val="16"/>
              </w:rPr>
            </w:pPr>
            <w:r w:rsidRPr="00EC1C20">
              <w:rPr>
                <w:color w:val="000000"/>
                <w:sz w:val="16"/>
                <w:szCs w:val="16"/>
              </w:rPr>
              <w:t>IND </w:t>
            </w:r>
          </w:p>
        </w:tc>
        <w:tc>
          <w:tcPr>
            <w:tcW w:w="720" w:type="dxa"/>
            <w:tcBorders>
              <w:top w:val="nil"/>
              <w:left w:val="single" w:sz="6" w:space="0" w:color="auto"/>
              <w:bottom w:val="nil"/>
              <w:right w:val="nil"/>
            </w:tcBorders>
            <w:vAlign w:val="center"/>
            <w:hideMark/>
          </w:tcPr>
          <w:p w14:paraId="6FFAF3C4"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-0.288***</w:t>
            </w:r>
          </w:p>
        </w:tc>
        <w:tc>
          <w:tcPr>
            <w:tcW w:w="630" w:type="dxa"/>
            <w:vAlign w:val="center"/>
            <w:hideMark/>
          </w:tcPr>
          <w:p w14:paraId="096694F3"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0.095</w:t>
            </w:r>
          </w:p>
        </w:tc>
        <w:tc>
          <w:tcPr>
            <w:tcW w:w="720" w:type="dxa"/>
            <w:vAlign w:val="center"/>
            <w:hideMark/>
          </w:tcPr>
          <w:p w14:paraId="3F6CF3BC"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0.316***</w:t>
            </w:r>
          </w:p>
        </w:tc>
        <w:tc>
          <w:tcPr>
            <w:tcW w:w="630" w:type="dxa"/>
            <w:vAlign w:val="center"/>
            <w:hideMark/>
          </w:tcPr>
          <w:p w14:paraId="51CF5BBF"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0.139**</w:t>
            </w:r>
          </w:p>
        </w:tc>
        <w:tc>
          <w:tcPr>
            <w:tcW w:w="720" w:type="dxa"/>
            <w:vAlign w:val="center"/>
            <w:hideMark/>
          </w:tcPr>
          <w:p w14:paraId="1AFF902C"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0.018</w:t>
            </w:r>
          </w:p>
        </w:tc>
        <w:tc>
          <w:tcPr>
            <w:tcW w:w="720" w:type="dxa"/>
            <w:vAlign w:val="center"/>
            <w:hideMark/>
          </w:tcPr>
          <w:p w14:paraId="594A9D08"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0.359***</w:t>
            </w:r>
          </w:p>
        </w:tc>
        <w:tc>
          <w:tcPr>
            <w:tcW w:w="630" w:type="dxa"/>
            <w:vAlign w:val="center"/>
            <w:hideMark/>
          </w:tcPr>
          <w:p w14:paraId="1E772CD3"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0.137**</w:t>
            </w:r>
          </w:p>
        </w:tc>
        <w:tc>
          <w:tcPr>
            <w:tcW w:w="450" w:type="dxa"/>
            <w:vAlign w:val="center"/>
            <w:hideMark/>
          </w:tcPr>
          <w:p w14:paraId="5CFF6A3A"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1.000</w:t>
            </w:r>
          </w:p>
        </w:tc>
      </w:tr>
      <w:tr w:rsidR="00EC1C20" w:rsidRPr="00EC1C20" w14:paraId="2E388959" w14:textId="77777777" w:rsidTr="00EC1C20">
        <w:trPr>
          <w:trHeight w:val="220"/>
          <w:jc w:val="center"/>
        </w:trPr>
        <w:tc>
          <w:tcPr>
            <w:tcW w:w="540" w:type="dxa"/>
            <w:tcBorders>
              <w:top w:val="nil"/>
              <w:left w:val="nil"/>
              <w:bottom w:val="nil"/>
              <w:right w:val="single" w:sz="6" w:space="0" w:color="auto"/>
            </w:tcBorders>
            <w:vAlign w:val="center"/>
            <w:hideMark/>
          </w:tcPr>
          <w:p w14:paraId="4426C0D0" w14:textId="77777777" w:rsidR="00EC1C20" w:rsidRDefault="00EC1C20" w:rsidP="00EC1C20">
            <w:pPr>
              <w:autoSpaceDE w:val="0"/>
              <w:autoSpaceDN w:val="0"/>
              <w:adjustRightInd w:val="0"/>
              <w:spacing w:after="0"/>
              <w:jc w:val="left"/>
              <w:rPr>
                <w:color w:val="000000"/>
                <w:sz w:val="16"/>
                <w:szCs w:val="16"/>
              </w:rPr>
            </w:pPr>
            <w:r w:rsidRPr="00EC1C20">
              <w:rPr>
                <w:color w:val="000000"/>
                <w:sz w:val="16"/>
                <w:szCs w:val="16"/>
              </w:rPr>
              <w:t>LN</w:t>
            </w:r>
          </w:p>
          <w:p w14:paraId="62300648" w14:textId="3B519751" w:rsidR="00EC1C20" w:rsidRPr="00EC1C20" w:rsidRDefault="00EC1C20" w:rsidP="00EC1C20">
            <w:pPr>
              <w:autoSpaceDE w:val="0"/>
              <w:autoSpaceDN w:val="0"/>
              <w:adjustRightInd w:val="0"/>
              <w:spacing w:after="0"/>
              <w:jc w:val="left"/>
              <w:rPr>
                <w:color w:val="000000"/>
                <w:sz w:val="16"/>
                <w:szCs w:val="16"/>
              </w:rPr>
            </w:pPr>
            <w:r w:rsidRPr="00EC1C20">
              <w:rPr>
                <w:color w:val="000000"/>
                <w:sz w:val="16"/>
                <w:szCs w:val="16"/>
              </w:rPr>
              <w:t>GDPG </w:t>
            </w:r>
          </w:p>
        </w:tc>
        <w:tc>
          <w:tcPr>
            <w:tcW w:w="720" w:type="dxa"/>
            <w:tcBorders>
              <w:top w:val="nil"/>
              <w:left w:val="single" w:sz="6" w:space="0" w:color="auto"/>
              <w:bottom w:val="nil"/>
              <w:right w:val="nil"/>
            </w:tcBorders>
            <w:vAlign w:val="center"/>
            <w:hideMark/>
          </w:tcPr>
          <w:p w14:paraId="676DDA03"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-0.198***</w:t>
            </w:r>
          </w:p>
        </w:tc>
        <w:tc>
          <w:tcPr>
            <w:tcW w:w="630" w:type="dxa"/>
            <w:vAlign w:val="center"/>
            <w:hideMark/>
          </w:tcPr>
          <w:p w14:paraId="7C518778"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-0.051</w:t>
            </w:r>
          </w:p>
        </w:tc>
        <w:tc>
          <w:tcPr>
            <w:tcW w:w="720" w:type="dxa"/>
            <w:vAlign w:val="center"/>
            <w:hideMark/>
          </w:tcPr>
          <w:p w14:paraId="5EC6F363"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-0.127**</w:t>
            </w:r>
          </w:p>
        </w:tc>
        <w:tc>
          <w:tcPr>
            <w:tcW w:w="630" w:type="dxa"/>
            <w:vAlign w:val="center"/>
            <w:hideMark/>
          </w:tcPr>
          <w:p w14:paraId="11741348"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0.006</w:t>
            </w:r>
          </w:p>
        </w:tc>
        <w:tc>
          <w:tcPr>
            <w:tcW w:w="720" w:type="dxa"/>
            <w:vAlign w:val="center"/>
            <w:hideMark/>
          </w:tcPr>
          <w:p w14:paraId="2D145D5E"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-0.141**</w:t>
            </w:r>
          </w:p>
        </w:tc>
        <w:tc>
          <w:tcPr>
            <w:tcW w:w="720" w:type="dxa"/>
            <w:vAlign w:val="center"/>
            <w:hideMark/>
          </w:tcPr>
          <w:p w14:paraId="014E9912"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-0.015</w:t>
            </w:r>
          </w:p>
        </w:tc>
        <w:tc>
          <w:tcPr>
            <w:tcW w:w="630" w:type="dxa"/>
            <w:vAlign w:val="center"/>
            <w:hideMark/>
          </w:tcPr>
          <w:p w14:paraId="3F530AAD"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0.076</w:t>
            </w:r>
          </w:p>
        </w:tc>
        <w:tc>
          <w:tcPr>
            <w:tcW w:w="450" w:type="dxa"/>
            <w:vAlign w:val="center"/>
            <w:hideMark/>
          </w:tcPr>
          <w:p w14:paraId="6FCD5F18" w14:textId="77777777" w:rsidR="00EC1C20" w:rsidRPr="00EC1C20" w:rsidRDefault="00EC1C20">
            <w:pPr>
              <w:autoSpaceDE w:val="0"/>
              <w:autoSpaceDN w:val="0"/>
              <w:adjustRightInd w:val="0"/>
              <w:spacing w:after="0"/>
              <w:ind w:right="20"/>
              <w:rPr>
                <w:color w:val="000000"/>
                <w:sz w:val="16"/>
                <w:szCs w:val="16"/>
              </w:rPr>
            </w:pPr>
            <w:r w:rsidRPr="00EC1C20">
              <w:rPr>
                <w:color w:val="000000"/>
                <w:sz w:val="16"/>
                <w:szCs w:val="16"/>
              </w:rPr>
              <w:t xml:space="preserve"> 0.022</w:t>
            </w:r>
          </w:p>
        </w:tc>
      </w:tr>
      <w:tr w:rsidR="00EC1C20" w:rsidRPr="00EC1C20" w14:paraId="402B0659" w14:textId="77777777" w:rsidTr="00EC1C20">
        <w:trPr>
          <w:trHeight w:hRule="exact" w:val="88"/>
          <w:jc w:val="center"/>
        </w:trPr>
        <w:tc>
          <w:tcPr>
            <w:tcW w:w="540" w:type="dxa"/>
            <w:tcBorders>
              <w:top w:val="nil"/>
              <w:left w:val="nil"/>
              <w:bottom w:val="double" w:sz="6" w:space="0" w:color="auto"/>
              <w:right w:val="nil"/>
            </w:tcBorders>
            <w:vAlign w:val="bottom"/>
          </w:tcPr>
          <w:p w14:paraId="49F9D63A" w14:textId="77777777" w:rsidR="00EC1C20" w:rsidRPr="00EC1C20" w:rsidRDefault="00EC1C20">
            <w:pPr>
              <w:autoSpaceDE w:val="0"/>
              <w:autoSpaceDN w:val="0"/>
              <w:adjustRightInd w:val="0"/>
              <w:spacing w:after="0"/>
              <w:rPr>
                <w:color w:val="000000"/>
                <w:sz w:val="16"/>
                <w:szCs w:val="16"/>
              </w:rPr>
            </w:pPr>
          </w:p>
        </w:tc>
        <w:tc>
          <w:tcPr>
            <w:tcW w:w="720" w:type="dxa"/>
            <w:tcBorders>
              <w:top w:val="nil"/>
              <w:left w:val="nil"/>
              <w:bottom w:val="double" w:sz="6" w:space="0" w:color="auto"/>
              <w:right w:val="nil"/>
            </w:tcBorders>
            <w:vAlign w:val="bottom"/>
          </w:tcPr>
          <w:p w14:paraId="109C4012" w14:textId="77777777" w:rsidR="00EC1C20" w:rsidRPr="00EC1C20" w:rsidRDefault="00EC1C20">
            <w:pPr>
              <w:autoSpaceDE w:val="0"/>
              <w:autoSpaceDN w:val="0"/>
              <w:adjustRightInd w:val="0"/>
              <w:spacing w:after="0"/>
              <w:rPr>
                <w:color w:val="000000"/>
                <w:sz w:val="16"/>
                <w:szCs w:val="16"/>
              </w:rPr>
            </w:pPr>
          </w:p>
        </w:tc>
        <w:tc>
          <w:tcPr>
            <w:tcW w:w="630" w:type="dxa"/>
            <w:tcBorders>
              <w:top w:val="nil"/>
              <w:left w:val="nil"/>
              <w:bottom w:val="double" w:sz="6" w:space="0" w:color="auto"/>
              <w:right w:val="nil"/>
            </w:tcBorders>
            <w:vAlign w:val="bottom"/>
          </w:tcPr>
          <w:p w14:paraId="5552B393" w14:textId="77777777" w:rsidR="00EC1C20" w:rsidRPr="00EC1C20" w:rsidRDefault="00EC1C20">
            <w:pPr>
              <w:autoSpaceDE w:val="0"/>
              <w:autoSpaceDN w:val="0"/>
              <w:adjustRightInd w:val="0"/>
              <w:spacing w:after="0"/>
              <w:rPr>
                <w:color w:val="000000"/>
                <w:sz w:val="16"/>
                <w:szCs w:val="16"/>
              </w:rPr>
            </w:pPr>
          </w:p>
        </w:tc>
        <w:tc>
          <w:tcPr>
            <w:tcW w:w="720" w:type="dxa"/>
            <w:tcBorders>
              <w:top w:val="nil"/>
              <w:left w:val="nil"/>
              <w:bottom w:val="double" w:sz="6" w:space="0" w:color="auto"/>
              <w:right w:val="nil"/>
            </w:tcBorders>
            <w:vAlign w:val="bottom"/>
          </w:tcPr>
          <w:p w14:paraId="60C001B7" w14:textId="77777777" w:rsidR="00EC1C20" w:rsidRPr="00EC1C20" w:rsidRDefault="00EC1C20">
            <w:pPr>
              <w:autoSpaceDE w:val="0"/>
              <w:autoSpaceDN w:val="0"/>
              <w:adjustRightInd w:val="0"/>
              <w:spacing w:after="0"/>
              <w:rPr>
                <w:color w:val="000000"/>
                <w:sz w:val="16"/>
                <w:szCs w:val="16"/>
              </w:rPr>
            </w:pPr>
          </w:p>
        </w:tc>
        <w:tc>
          <w:tcPr>
            <w:tcW w:w="630" w:type="dxa"/>
            <w:tcBorders>
              <w:top w:val="nil"/>
              <w:left w:val="nil"/>
              <w:bottom w:val="double" w:sz="6" w:space="0" w:color="auto"/>
              <w:right w:val="nil"/>
            </w:tcBorders>
            <w:vAlign w:val="bottom"/>
          </w:tcPr>
          <w:p w14:paraId="410EB83A" w14:textId="77777777" w:rsidR="00EC1C20" w:rsidRPr="00EC1C20" w:rsidRDefault="00EC1C20">
            <w:pPr>
              <w:autoSpaceDE w:val="0"/>
              <w:autoSpaceDN w:val="0"/>
              <w:adjustRightInd w:val="0"/>
              <w:spacing w:after="0"/>
              <w:rPr>
                <w:color w:val="000000"/>
                <w:sz w:val="16"/>
                <w:szCs w:val="16"/>
              </w:rPr>
            </w:pPr>
          </w:p>
        </w:tc>
        <w:tc>
          <w:tcPr>
            <w:tcW w:w="720" w:type="dxa"/>
            <w:tcBorders>
              <w:top w:val="nil"/>
              <w:left w:val="nil"/>
              <w:bottom w:val="double" w:sz="6" w:space="0" w:color="auto"/>
              <w:right w:val="nil"/>
            </w:tcBorders>
            <w:vAlign w:val="bottom"/>
          </w:tcPr>
          <w:p w14:paraId="6CBE4E60" w14:textId="77777777" w:rsidR="00EC1C20" w:rsidRPr="00EC1C20" w:rsidRDefault="00EC1C20">
            <w:pPr>
              <w:autoSpaceDE w:val="0"/>
              <w:autoSpaceDN w:val="0"/>
              <w:adjustRightInd w:val="0"/>
              <w:spacing w:after="0"/>
              <w:rPr>
                <w:color w:val="000000"/>
                <w:sz w:val="16"/>
                <w:szCs w:val="16"/>
              </w:rPr>
            </w:pPr>
          </w:p>
        </w:tc>
        <w:tc>
          <w:tcPr>
            <w:tcW w:w="720" w:type="dxa"/>
            <w:tcBorders>
              <w:top w:val="nil"/>
              <w:left w:val="nil"/>
              <w:bottom w:val="double" w:sz="6" w:space="0" w:color="auto"/>
              <w:right w:val="nil"/>
            </w:tcBorders>
            <w:vAlign w:val="bottom"/>
          </w:tcPr>
          <w:p w14:paraId="5BD1B9C0" w14:textId="77777777" w:rsidR="00EC1C20" w:rsidRPr="00EC1C20" w:rsidRDefault="00EC1C20">
            <w:pPr>
              <w:autoSpaceDE w:val="0"/>
              <w:autoSpaceDN w:val="0"/>
              <w:adjustRightInd w:val="0"/>
              <w:spacing w:after="0"/>
              <w:rPr>
                <w:color w:val="000000"/>
                <w:sz w:val="16"/>
                <w:szCs w:val="16"/>
              </w:rPr>
            </w:pPr>
          </w:p>
        </w:tc>
        <w:tc>
          <w:tcPr>
            <w:tcW w:w="630" w:type="dxa"/>
            <w:tcBorders>
              <w:top w:val="nil"/>
              <w:left w:val="nil"/>
              <w:bottom w:val="double" w:sz="6" w:space="0" w:color="auto"/>
              <w:right w:val="nil"/>
            </w:tcBorders>
            <w:vAlign w:val="bottom"/>
          </w:tcPr>
          <w:p w14:paraId="17CFE4C7" w14:textId="77777777" w:rsidR="00EC1C20" w:rsidRPr="00EC1C20" w:rsidRDefault="00EC1C20">
            <w:pPr>
              <w:autoSpaceDE w:val="0"/>
              <w:autoSpaceDN w:val="0"/>
              <w:adjustRightInd w:val="0"/>
              <w:spacing w:after="0"/>
              <w:rPr>
                <w:color w:val="000000"/>
                <w:sz w:val="16"/>
                <w:szCs w:val="16"/>
              </w:rPr>
            </w:pPr>
          </w:p>
        </w:tc>
        <w:tc>
          <w:tcPr>
            <w:tcW w:w="450" w:type="dxa"/>
            <w:tcBorders>
              <w:top w:val="nil"/>
              <w:left w:val="nil"/>
              <w:bottom w:val="double" w:sz="6" w:space="0" w:color="auto"/>
              <w:right w:val="nil"/>
            </w:tcBorders>
            <w:vAlign w:val="bottom"/>
          </w:tcPr>
          <w:p w14:paraId="1D885A98" w14:textId="77777777" w:rsidR="00EC1C20" w:rsidRPr="00EC1C20" w:rsidRDefault="00EC1C20">
            <w:pPr>
              <w:autoSpaceDE w:val="0"/>
              <w:autoSpaceDN w:val="0"/>
              <w:adjustRightInd w:val="0"/>
              <w:spacing w:after="0"/>
              <w:rPr>
                <w:color w:val="000000"/>
                <w:sz w:val="16"/>
                <w:szCs w:val="16"/>
              </w:rPr>
            </w:pPr>
          </w:p>
        </w:tc>
      </w:tr>
      <w:tr w:rsidR="00EC1C20" w:rsidRPr="00EC1C20" w14:paraId="421E8599" w14:textId="77777777" w:rsidTr="00EC1C20">
        <w:trPr>
          <w:trHeight w:hRule="exact" w:val="132"/>
          <w:jc w:val="center"/>
        </w:trPr>
        <w:tc>
          <w:tcPr>
            <w:tcW w:w="540" w:type="dxa"/>
            <w:vAlign w:val="bottom"/>
          </w:tcPr>
          <w:p w14:paraId="4D9F56AD" w14:textId="77777777" w:rsidR="00EC1C20" w:rsidRPr="00EC1C20" w:rsidRDefault="00EC1C20">
            <w:pPr>
              <w:autoSpaceDE w:val="0"/>
              <w:autoSpaceDN w:val="0"/>
              <w:adjustRightInd w:val="0"/>
              <w:spacing w:after="0"/>
              <w:rPr>
                <w:color w:val="000000"/>
                <w:sz w:val="16"/>
                <w:szCs w:val="16"/>
              </w:rPr>
            </w:pPr>
          </w:p>
        </w:tc>
        <w:tc>
          <w:tcPr>
            <w:tcW w:w="720" w:type="dxa"/>
            <w:vAlign w:val="bottom"/>
          </w:tcPr>
          <w:p w14:paraId="74CD1C96" w14:textId="77777777" w:rsidR="00EC1C20" w:rsidRPr="00EC1C20" w:rsidRDefault="00EC1C20">
            <w:pPr>
              <w:autoSpaceDE w:val="0"/>
              <w:autoSpaceDN w:val="0"/>
              <w:adjustRightInd w:val="0"/>
              <w:spacing w:after="0"/>
              <w:rPr>
                <w:color w:val="000000"/>
                <w:sz w:val="16"/>
                <w:szCs w:val="16"/>
              </w:rPr>
            </w:pPr>
          </w:p>
        </w:tc>
        <w:tc>
          <w:tcPr>
            <w:tcW w:w="630" w:type="dxa"/>
            <w:vAlign w:val="bottom"/>
          </w:tcPr>
          <w:p w14:paraId="7BCE9C5A" w14:textId="77777777" w:rsidR="00EC1C20" w:rsidRPr="00EC1C20" w:rsidRDefault="00EC1C20">
            <w:pPr>
              <w:autoSpaceDE w:val="0"/>
              <w:autoSpaceDN w:val="0"/>
              <w:adjustRightInd w:val="0"/>
              <w:spacing w:after="0"/>
              <w:rPr>
                <w:color w:val="000000"/>
                <w:sz w:val="16"/>
                <w:szCs w:val="16"/>
              </w:rPr>
            </w:pPr>
          </w:p>
        </w:tc>
        <w:tc>
          <w:tcPr>
            <w:tcW w:w="720" w:type="dxa"/>
            <w:vAlign w:val="bottom"/>
          </w:tcPr>
          <w:p w14:paraId="40511E42" w14:textId="77777777" w:rsidR="00EC1C20" w:rsidRPr="00EC1C20" w:rsidRDefault="00EC1C20">
            <w:pPr>
              <w:autoSpaceDE w:val="0"/>
              <w:autoSpaceDN w:val="0"/>
              <w:adjustRightInd w:val="0"/>
              <w:spacing w:after="0"/>
              <w:rPr>
                <w:color w:val="000000"/>
                <w:sz w:val="16"/>
                <w:szCs w:val="16"/>
              </w:rPr>
            </w:pPr>
          </w:p>
        </w:tc>
        <w:tc>
          <w:tcPr>
            <w:tcW w:w="630" w:type="dxa"/>
            <w:vAlign w:val="bottom"/>
          </w:tcPr>
          <w:p w14:paraId="0302A3AB" w14:textId="77777777" w:rsidR="00EC1C20" w:rsidRPr="00EC1C20" w:rsidRDefault="00EC1C20">
            <w:pPr>
              <w:autoSpaceDE w:val="0"/>
              <w:autoSpaceDN w:val="0"/>
              <w:adjustRightInd w:val="0"/>
              <w:spacing w:after="0"/>
              <w:rPr>
                <w:color w:val="000000"/>
                <w:sz w:val="16"/>
                <w:szCs w:val="16"/>
              </w:rPr>
            </w:pPr>
          </w:p>
        </w:tc>
        <w:tc>
          <w:tcPr>
            <w:tcW w:w="720" w:type="dxa"/>
            <w:vAlign w:val="bottom"/>
          </w:tcPr>
          <w:p w14:paraId="174D9ADC" w14:textId="77777777" w:rsidR="00EC1C20" w:rsidRPr="00EC1C20" w:rsidRDefault="00EC1C20">
            <w:pPr>
              <w:autoSpaceDE w:val="0"/>
              <w:autoSpaceDN w:val="0"/>
              <w:adjustRightInd w:val="0"/>
              <w:spacing w:after="0"/>
              <w:rPr>
                <w:color w:val="000000"/>
                <w:sz w:val="16"/>
                <w:szCs w:val="16"/>
              </w:rPr>
            </w:pPr>
          </w:p>
        </w:tc>
        <w:tc>
          <w:tcPr>
            <w:tcW w:w="720" w:type="dxa"/>
            <w:vAlign w:val="bottom"/>
          </w:tcPr>
          <w:p w14:paraId="173AA532" w14:textId="77777777" w:rsidR="00EC1C20" w:rsidRPr="00EC1C20" w:rsidRDefault="00EC1C20">
            <w:pPr>
              <w:autoSpaceDE w:val="0"/>
              <w:autoSpaceDN w:val="0"/>
              <w:adjustRightInd w:val="0"/>
              <w:spacing w:after="0"/>
              <w:rPr>
                <w:color w:val="000000"/>
                <w:sz w:val="16"/>
                <w:szCs w:val="16"/>
              </w:rPr>
            </w:pPr>
          </w:p>
        </w:tc>
        <w:tc>
          <w:tcPr>
            <w:tcW w:w="630" w:type="dxa"/>
            <w:vAlign w:val="bottom"/>
          </w:tcPr>
          <w:p w14:paraId="3FE02D48" w14:textId="77777777" w:rsidR="00EC1C20" w:rsidRPr="00EC1C20" w:rsidRDefault="00EC1C20">
            <w:pPr>
              <w:autoSpaceDE w:val="0"/>
              <w:autoSpaceDN w:val="0"/>
              <w:adjustRightInd w:val="0"/>
              <w:spacing w:after="0"/>
              <w:rPr>
                <w:color w:val="000000"/>
                <w:sz w:val="16"/>
                <w:szCs w:val="16"/>
              </w:rPr>
            </w:pPr>
          </w:p>
        </w:tc>
        <w:tc>
          <w:tcPr>
            <w:tcW w:w="450" w:type="dxa"/>
            <w:vAlign w:val="bottom"/>
          </w:tcPr>
          <w:p w14:paraId="1635ECE3" w14:textId="77777777" w:rsidR="00EC1C20" w:rsidRPr="00EC1C20" w:rsidRDefault="00EC1C20">
            <w:pPr>
              <w:autoSpaceDE w:val="0"/>
              <w:autoSpaceDN w:val="0"/>
              <w:adjustRightInd w:val="0"/>
              <w:spacing w:after="0"/>
              <w:rPr>
                <w:color w:val="000000"/>
                <w:sz w:val="16"/>
                <w:szCs w:val="16"/>
              </w:rPr>
            </w:pPr>
          </w:p>
        </w:tc>
      </w:tr>
    </w:tbl>
    <w:p w14:paraId="3C6FE9F9" w14:textId="77777777" w:rsidR="00433B20" w:rsidRPr="00433B20" w:rsidRDefault="00433B20" w:rsidP="00433B20">
      <w:pPr>
        <w:spacing w:after="0"/>
      </w:pPr>
      <w:r w:rsidRPr="00433B20">
        <w:t>Notes:</w:t>
      </w:r>
    </w:p>
    <w:p w14:paraId="2C6FCB67" w14:textId="77777777" w:rsidR="00433B20" w:rsidRPr="00433B20" w:rsidRDefault="00433B20" w:rsidP="00433B20">
      <w:pPr>
        <w:spacing w:after="0"/>
      </w:pPr>
      <w:r w:rsidRPr="00433B20">
        <w:t xml:space="preserve">ROA = Return on Assets, RET = Stock Return, ESG = environmental, social, and governance, GB = dummy - green bond, GOV = percentage of government owned (SOE), SIZE = Total Assets, LEV = total debt / total assets, GDPG = GDP growth, IND = dummy industry. </w:t>
      </w:r>
    </w:p>
    <w:p w14:paraId="57DAFA78" w14:textId="77777777" w:rsidR="00433B20" w:rsidRPr="00433B20" w:rsidRDefault="00433B20" w:rsidP="00433B20">
      <w:pPr>
        <w:spacing w:after="0"/>
      </w:pPr>
      <w:r w:rsidRPr="00433B20">
        <w:t>Standard error *, **, *** shows the significance at 10%, 5% dan 1%;</w:t>
      </w:r>
    </w:p>
    <w:p w14:paraId="06C7B573" w14:textId="77777777" w:rsidR="00433B20" w:rsidRPr="00433B20" w:rsidRDefault="00433B20" w:rsidP="00433B20">
      <w:pPr>
        <w:spacing w:after="0"/>
      </w:pPr>
      <w:r w:rsidRPr="00433B20">
        <w:t>Sources: author’ s calculation.</w:t>
      </w:r>
    </w:p>
    <w:p w14:paraId="3688A6D0" w14:textId="77777777" w:rsidR="00433B20" w:rsidRPr="00433B20" w:rsidRDefault="00433B20" w:rsidP="00433B20">
      <w:pPr>
        <w:spacing w:after="0"/>
      </w:pPr>
    </w:p>
    <w:p w14:paraId="027DD190" w14:textId="33744F95" w:rsidR="00433B20" w:rsidRPr="00433B20" w:rsidRDefault="00433B20" w:rsidP="00433B20">
      <w:pPr>
        <w:spacing w:after="0"/>
      </w:pPr>
      <w:r w:rsidRPr="00433B20">
        <w:t>Table 2 explains that stock returns (RET) are affected negatively and significantly by all control variables both at the firm level (</w:t>
      </w:r>
      <w:proofErr w:type="spellStart"/>
      <w:r w:rsidRPr="00433B20">
        <w:t>LnSIZE</w:t>
      </w:r>
      <w:proofErr w:type="spellEnd"/>
      <w:r w:rsidRPr="00433B20">
        <w:t xml:space="preserve"> and LEV) as well as the sector (IND) and country (</w:t>
      </w:r>
      <w:proofErr w:type="spellStart"/>
      <w:r w:rsidRPr="00433B20">
        <w:t>LnGDP</w:t>
      </w:r>
      <w:proofErr w:type="spellEnd"/>
      <w:r w:rsidRPr="00433B20">
        <w:t>) levels. While these four variables do not affect profitability (ROA), neither do the other independent variables. Government ownership is positively and significantly correlated (at the 10% level) with stock returns. This correlation shows that there is a tendency for unfavorable stock performance if the greater the organization is owned by the government. In general, all correlation coefficients between endogenous variables do not indicate the possibility of serious problems related to multicollinearity in the estimated model because the value is &lt;0.90 [30]; [31].</w:t>
      </w:r>
    </w:p>
    <w:p w14:paraId="70838FF6" w14:textId="77777777" w:rsidR="00433B20" w:rsidRDefault="00433B20" w:rsidP="00433B20">
      <w:pPr>
        <w:pStyle w:val="BodyTextIndent"/>
        <w:spacing w:after="120"/>
        <w:ind w:firstLine="0"/>
        <w:rPr>
          <w:b/>
          <w:bCs/>
          <w:sz w:val="24"/>
          <w:szCs w:val="24"/>
        </w:rPr>
      </w:pPr>
    </w:p>
    <w:p w14:paraId="007C13C4" w14:textId="7BEFF124" w:rsidR="00433B20" w:rsidRPr="00433B20" w:rsidRDefault="00433B20" w:rsidP="00433B20">
      <w:pPr>
        <w:pStyle w:val="BodyTextIndent"/>
        <w:spacing w:after="120"/>
        <w:ind w:firstLine="0"/>
        <w:rPr>
          <w:b/>
          <w:bCs/>
          <w:sz w:val="24"/>
          <w:szCs w:val="24"/>
        </w:rPr>
      </w:pPr>
      <w:proofErr w:type="gramStart"/>
      <w:r w:rsidRPr="00433B20">
        <w:rPr>
          <w:b/>
          <w:bCs/>
          <w:sz w:val="24"/>
          <w:szCs w:val="24"/>
        </w:rPr>
        <w:t>4.2</w:t>
      </w:r>
      <w:r>
        <w:rPr>
          <w:b/>
          <w:bCs/>
          <w:sz w:val="24"/>
          <w:szCs w:val="24"/>
        </w:rPr>
        <w:t xml:space="preserve">  </w:t>
      </w:r>
      <w:r w:rsidRPr="00433B20">
        <w:rPr>
          <w:b/>
          <w:bCs/>
          <w:sz w:val="24"/>
          <w:szCs w:val="24"/>
        </w:rPr>
        <w:t>Regression</w:t>
      </w:r>
      <w:proofErr w:type="gramEnd"/>
      <w:r w:rsidRPr="00433B20">
        <w:rPr>
          <w:b/>
          <w:bCs/>
          <w:sz w:val="24"/>
          <w:szCs w:val="24"/>
        </w:rPr>
        <w:t xml:space="preserve"> results</w:t>
      </w:r>
    </w:p>
    <w:p w14:paraId="6BD3EB68" w14:textId="6F4F6AAC" w:rsidR="00433B20" w:rsidRDefault="00433B20" w:rsidP="00433B20">
      <w:pPr>
        <w:pStyle w:val="BodyTextIndent"/>
        <w:spacing w:after="120"/>
        <w:ind w:firstLine="0"/>
      </w:pPr>
      <w:r>
        <w:t>Table 3 presents the differences in the results of panel data regression with the Ordinary Least Square (OLS) model. Diagnostic tests show that all models are good. The adjusted R-Squared test results also show a sufficient and higher value for the model with the dependent variable is ROA (around 67%). While the significance level of the F-statistic test for all models is very high which interpret these models very well and can be used for prediction or forecasting. Model results (1) to (4) also state that the coefficient of the main independent variable (ESG) is positive and statistically significant which is consistent with the results of recent studies.</w:t>
      </w:r>
    </w:p>
    <w:p w14:paraId="01D910C6" w14:textId="033EAADC" w:rsidR="00B44CFB" w:rsidRDefault="00B44CFB" w:rsidP="00B44CFB">
      <w:pPr>
        <w:pStyle w:val="BodyTextIndent"/>
        <w:spacing w:after="120"/>
        <w:ind w:firstLine="0"/>
        <w:jc w:val="center"/>
        <w:rPr>
          <w:b/>
          <w:bCs/>
        </w:rPr>
      </w:pPr>
      <w:r w:rsidRPr="00B44CFB">
        <w:rPr>
          <w:b/>
          <w:bCs/>
        </w:rPr>
        <w:lastRenderedPageBreak/>
        <w:t>Table 3. ESG Model Regression Results in ASEAN-5 Countries</w:t>
      </w:r>
    </w:p>
    <w:tbl>
      <w:tblPr>
        <w:tblW w:w="5895" w:type="pct"/>
        <w:jc w:val="center"/>
        <w:tblLayout w:type="fixed"/>
        <w:tblLook w:val="04A0" w:firstRow="1" w:lastRow="0" w:firstColumn="1" w:lastColumn="0" w:noHBand="0" w:noVBand="1"/>
      </w:tblPr>
      <w:tblGrid>
        <w:gridCol w:w="986"/>
        <w:gridCol w:w="477"/>
        <w:gridCol w:w="606"/>
        <w:gridCol w:w="411"/>
        <w:gridCol w:w="576"/>
        <w:gridCol w:w="390"/>
        <w:gridCol w:w="604"/>
        <w:gridCol w:w="504"/>
        <w:gridCol w:w="621"/>
        <w:gridCol w:w="487"/>
      </w:tblGrid>
      <w:tr w:rsidR="00B44CFB" w:rsidRPr="00B44CFB" w14:paraId="6AB03F92" w14:textId="77777777" w:rsidTr="00B44CFB">
        <w:trPr>
          <w:trHeight w:val="387"/>
          <w:tblHeader/>
          <w:jc w:val="center"/>
        </w:trPr>
        <w:tc>
          <w:tcPr>
            <w:tcW w:w="871" w:type="pct"/>
            <w:vMerge w:val="restart"/>
            <w:vAlign w:val="center"/>
            <w:hideMark/>
          </w:tcPr>
          <w:p w14:paraId="33E304B3" w14:textId="17FFBAA3" w:rsidR="00B44CFB" w:rsidRPr="00B44CFB" w:rsidRDefault="00B44CFB">
            <w:pPr>
              <w:spacing w:after="0"/>
              <w:jc w:val="center"/>
              <w:rPr>
                <w:b/>
                <w:bCs/>
                <w:sz w:val="16"/>
                <w:szCs w:val="16"/>
              </w:rPr>
            </w:pPr>
            <w:r w:rsidRPr="00B44CFB">
              <w:rPr>
                <w:b/>
                <w:bCs/>
                <w:sz w:val="16"/>
                <w:szCs w:val="16"/>
              </w:rPr>
              <w:t>Dep./</w:t>
            </w:r>
            <w:proofErr w:type="spellStart"/>
            <w:r w:rsidRPr="00B44CFB">
              <w:rPr>
                <w:b/>
                <w:bCs/>
                <w:sz w:val="16"/>
                <w:szCs w:val="16"/>
              </w:rPr>
              <w:t>Indep</w:t>
            </w:r>
            <w:proofErr w:type="spellEnd"/>
            <w:r w:rsidRPr="00B44CFB">
              <w:rPr>
                <w:b/>
                <w:bCs/>
                <w:sz w:val="16"/>
                <w:szCs w:val="16"/>
              </w:rPr>
              <w:t>. Var.</w:t>
            </w:r>
          </w:p>
        </w:tc>
        <w:tc>
          <w:tcPr>
            <w:tcW w:w="421" w:type="pct"/>
            <w:vMerge w:val="restart"/>
            <w:vAlign w:val="center"/>
            <w:hideMark/>
          </w:tcPr>
          <w:p w14:paraId="27380D9D" w14:textId="0DFC1F9A" w:rsidR="00B44CFB" w:rsidRPr="00B44CFB" w:rsidRDefault="00B44CFB">
            <w:pPr>
              <w:spacing w:after="0"/>
              <w:ind w:left="-69" w:right="-73"/>
              <w:jc w:val="center"/>
              <w:rPr>
                <w:b/>
                <w:bCs/>
                <w:sz w:val="16"/>
                <w:szCs w:val="16"/>
              </w:rPr>
            </w:pPr>
            <w:proofErr w:type="spellStart"/>
            <w:r w:rsidRPr="00B44CFB">
              <w:rPr>
                <w:b/>
                <w:bCs/>
                <w:sz w:val="16"/>
                <w:szCs w:val="16"/>
              </w:rPr>
              <w:t>Pred</w:t>
            </w:r>
            <w:proofErr w:type="spellEnd"/>
          </w:p>
        </w:tc>
        <w:tc>
          <w:tcPr>
            <w:tcW w:w="898" w:type="pct"/>
            <w:gridSpan w:val="2"/>
            <w:vAlign w:val="center"/>
            <w:hideMark/>
          </w:tcPr>
          <w:p w14:paraId="2C6EF78F" w14:textId="77777777" w:rsidR="00B44CFB" w:rsidRPr="00B44CFB" w:rsidRDefault="00B44CFB">
            <w:pPr>
              <w:spacing w:after="0"/>
              <w:ind w:right="-73"/>
              <w:jc w:val="center"/>
              <w:rPr>
                <w:b/>
                <w:bCs/>
                <w:sz w:val="16"/>
                <w:szCs w:val="16"/>
              </w:rPr>
            </w:pPr>
            <w:r w:rsidRPr="00B44CFB">
              <w:rPr>
                <w:b/>
                <w:bCs/>
                <w:sz w:val="16"/>
                <w:szCs w:val="16"/>
              </w:rPr>
              <w:t xml:space="preserve">ROA </w:t>
            </w:r>
          </w:p>
        </w:tc>
        <w:tc>
          <w:tcPr>
            <w:tcW w:w="853" w:type="pct"/>
            <w:gridSpan w:val="2"/>
            <w:vAlign w:val="center"/>
            <w:hideMark/>
          </w:tcPr>
          <w:p w14:paraId="381BF347" w14:textId="77777777" w:rsidR="00B44CFB" w:rsidRPr="00B44CFB" w:rsidRDefault="00B44CFB">
            <w:pPr>
              <w:spacing w:after="0"/>
              <w:ind w:left="-143"/>
              <w:jc w:val="center"/>
              <w:rPr>
                <w:b/>
                <w:bCs/>
                <w:sz w:val="16"/>
                <w:szCs w:val="16"/>
              </w:rPr>
            </w:pPr>
            <w:r w:rsidRPr="00B44CFB">
              <w:rPr>
                <w:b/>
                <w:bCs/>
                <w:sz w:val="16"/>
                <w:szCs w:val="16"/>
              </w:rPr>
              <w:t>ROA</w:t>
            </w:r>
          </w:p>
        </w:tc>
        <w:tc>
          <w:tcPr>
            <w:tcW w:w="978" w:type="pct"/>
            <w:gridSpan w:val="2"/>
            <w:vAlign w:val="center"/>
            <w:hideMark/>
          </w:tcPr>
          <w:p w14:paraId="2350CBD4" w14:textId="77777777" w:rsidR="00B44CFB" w:rsidRPr="00B44CFB" w:rsidRDefault="00B44CFB">
            <w:pPr>
              <w:spacing w:after="0"/>
              <w:jc w:val="center"/>
              <w:rPr>
                <w:b/>
                <w:bCs/>
                <w:sz w:val="16"/>
                <w:szCs w:val="16"/>
              </w:rPr>
            </w:pPr>
            <w:r w:rsidRPr="00B44CFB">
              <w:rPr>
                <w:b/>
                <w:bCs/>
                <w:sz w:val="16"/>
                <w:szCs w:val="16"/>
              </w:rPr>
              <w:t>RET</w:t>
            </w:r>
          </w:p>
        </w:tc>
        <w:tc>
          <w:tcPr>
            <w:tcW w:w="978" w:type="pct"/>
            <w:gridSpan w:val="2"/>
            <w:vAlign w:val="center"/>
            <w:hideMark/>
          </w:tcPr>
          <w:p w14:paraId="6DA8401B" w14:textId="77777777" w:rsidR="00B44CFB" w:rsidRPr="00B44CFB" w:rsidRDefault="00B44CFB">
            <w:pPr>
              <w:spacing w:after="0"/>
              <w:jc w:val="center"/>
              <w:rPr>
                <w:b/>
                <w:bCs/>
                <w:sz w:val="16"/>
                <w:szCs w:val="16"/>
              </w:rPr>
            </w:pPr>
            <w:r w:rsidRPr="00B44CFB">
              <w:rPr>
                <w:b/>
                <w:bCs/>
                <w:sz w:val="16"/>
                <w:szCs w:val="16"/>
              </w:rPr>
              <w:t>RET</w:t>
            </w:r>
          </w:p>
        </w:tc>
      </w:tr>
      <w:tr w:rsidR="00B44CFB" w:rsidRPr="00B44CFB" w14:paraId="4D45F592" w14:textId="77777777" w:rsidTr="00B44CFB">
        <w:trPr>
          <w:trHeight w:val="360"/>
          <w:tblHeader/>
          <w:jc w:val="center"/>
        </w:trPr>
        <w:tc>
          <w:tcPr>
            <w:tcW w:w="871" w:type="pct"/>
            <w:vMerge/>
            <w:vAlign w:val="center"/>
            <w:hideMark/>
          </w:tcPr>
          <w:p w14:paraId="0683B64F" w14:textId="77777777" w:rsidR="00B44CFB" w:rsidRPr="00B44CFB" w:rsidRDefault="00B44CFB">
            <w:pPr>
              <w:spacing w:after="0" w:line="256" w:lineRule="auto"/>
              <w:rPr>
                <w:b/>
                <w:bCs/>
                <w:sz w:val="16"/>
                <w:szCs w:val="16"/>
              </w:rPr>
            </w:pPr>
          </w:p>
        </w:tc>
        <w:tc>
          <w:tcPr>
            <w:tcW w:w="421" w:type="pct"/>
            <w:vMerge/>
            <w:vAlign w:val="center"/>
            <w:hideMark/>
          </w:tcPr>
          <w:p w14:paraId="05F5A841" w14:textId="77777777" w:rsidR="00B44CFB" w:rsidRPr="00B44CFB" w:rsidRDefault="00B44CFB">
            <w:pPr>
              <w:spacing w:after="0" w:line="256" w:lineRule="auto"/>
              <w:rPr>
                <w:b/>
                <w:bCs/>
                <w:sz w:val="16"/>
                <w:szCs w:val="16"/>
              </w:rPr>
            </w:pPr>
          </w:p>
        </w:tc>
        <w:tc>
          <w:tcPr>
            <w:tcW w:w="898" w:type="pct"/>
            <w:gridSpan w:val="2"/>
            <w:vAlign w:val="center"/>
            <w:hideMark/>
          </w:tcPr>
          <w:p w14:paraId="3C4477E4" w14:textId="77777777" w:rsidR="00B44CFB" w:rsidRPr="00B44CFB" w:rsidRDefault="00B44CFB">
            <w:pPr>
              <w:spacing w:after="0"/>
              <w:ind w:right="-73"/>
              <w:jc w:val="center"/>
              <w:rPr>
                <w:b/>
                <w:bCs/>
                <w:sz w:val="16"/>
                <w:szCs w:val="16"/>
              </w:rPr>
            </w:pPr>
            <w:r w:rsidRPr="00B44CFB">
              <w:rPr>
                <w:b/>
                <w:bCs/>
                <w:sz w:val="16"/>
                <w:szCs w:val="16"/>
              </w:rPr>
              <w:t>Model 1</w:t>
            </w:r>
          </w:p>
        </w:tc>
        <w:tc>
          <w:tcPr>
            <w:tcW w:w="853" w:type="pct"/>
            <w:gridSpan w:val="2"/>
            <w:vAlign w:val="center"/>
            <w:hideMark/>
          </w:tcPr>
          <w:p w14:paraId="29B83B19" w14:textId="77777777" w:rsidR="00B44CFB" w:rsidRPr="00B44CFB" w:rsidRDefault="00B44CFB">
            <w:pPr>
              <w:spacing w:after="0"/>
              <w:ind w:left="-143"/>
              <w:jc w:val="center"/>
              <w:rPr>
                <w:b/>
                <w:bCs/>
                <w:color w:val="FF0000"/>
                <w:sz w:val="16"/>
                <w:szCs w:val="16"/>
              </w:rPr>
            </w:pPr>
            <w:r w:rsidRPr="00B44CFB">
              <w:rPr>
                <w:b/>
                <w:bCs/>
                <w:sz w:val="16"/>
                <w:szCs w:val="16"/>
              </w:rPr>
              <w:t>Model 2</w:t>
            </w:r>
          </w:p>
        </w:tc>
        <w:tc>
          <w:tcPr>
            <w:tcW w:w="978" w:type="pct"/>
            <w:gridSpan w:val="2"/>
            <w:vAlign w:val="center"/>
            <w:hideMark/>
          </w:tcPr>
          <w:p w14:paraId="1BBFFCAF" w14:textId="77777777" w:rsidR="00B44CFB" w:rsidRPr="00B44CFB" w:rsidRDefault="00B44CFB">
            <w:pPr>
              <w:spacing w:after="0"/>
              <w:jc w:val="center"/>
              <w:rPr>
                <w:b/>
                <w:bCs/>
                <w:sz w:val="16"/>
                <w:szCs w:val="16"/>
              </w:rPr>
            </w:pPr>
            <w:r w:rsidRPr="00B44CFB">
              <w:rPr>
                <w:b/>
                <w:bCs/>
                <w:sz w:val="16"/>
                <w:szCs w:val="16"/>
              </w:rPr>
              <w:t>Model 3</w:t>
            </w:r>
          </w:p>
        </w:tc>
        <w:tc>
          <w:tcPr>
            <w:tcW w:w="978" w:type="pct"/>
            <w:gridSpan w:val="2"/>
            <w:vAlign w:val="center"/>
            <w:hideMark/>
          </w:tcPr>
          <w:p w14:paraId="2F4D8DCE" w14:textId="77777777" w:rsidR="00B44CFB" w:rsidRPr="00B44CFB" w:rsidRDefault="00B44CFB">
            <w:pPr>
              <w:spacing w:after="0"/>
              <w:jc w:val="center"/>
              <w:rPr>
                <w:b/>
                <w:bCs/>
                <w:sz w:val="16"/>
                <w:szCs w:val="16"/>
              </w:rPr>
            </w:pPr>
            <w:r w:rsidRPr="00B44CFB">
              <w:rPr>
                <w:b/>
                <w:bCs/>
                <w:sz w:val="16"/>
                <w:szCs w:val="16"/>
              </w:rPr>
              <w:t>Model 4</w:t>
            </w:r>
          </w:p>
        </w:tc>
      </w:tr>
      <w:tr w:rsidR="00B44CFB" w:rsidRPr="00B44CFB" w14:paraId="0A115A5D" w14:textId="77777777" w:rsidTr="00B44CFB">
        <w:trPr>
          <w:jc w:val="center"/>
        </w:trPr>
        <w:tc>
          <w:tcPr>
            <w:tcW w:w="871" w:type="pct"/>
            <w:vAlign w:val="center"/>
            <w:hideMark/>
          </w:tcPr>
          <w:p w14:paraId="0FEAC4CC" w14:textId="77777777" w:rsidR="00B44CFB" w:rsidRPr="00B44CFB" w:rsidRDefault="00B44CFB" w:rsidP="00B44CFB">
            <w:pPr>
              <w:spacing w:after="0"/>
              <w:jc w:val="left"/>
              <w:rPr>
                <w:sz w:val="16"/>
                <w:szCs w:val="16"/>
              </w:rPr>
            </w:pPr>
            <w:proofErr w:type="spellStart"/>
            <w:r w:rsidRPr="00B44CFB">
              <w:rPr>
                <w:sz w:val="16"/>
                <w:szCs w:val="16"/>
              </w:rPr>
              <w:t>LnESG</w:t>
            </w:r>
            <w:proofErr w:type="spellEnd"/>
          </w:p>
        </w:tc>
        <w:tc>
          <w:tcPr>
            <w:tcW w:w="421" w:type="pct"/>
            <w:vAlign w:val="center"/>
            <w:hideMark/>
          </w:tcPr>
          <w:p w14:paraId="3C8C8905" w14:textId="77777777" w:rsidR="00B44CFB" w:rsidRPr="00B44CFB" w:rsidRDefault="00B44CFB">
            <w:pPr>
              <w:spacing w:after="0"/>
              <w:ind w:right="-73"/>
              <w:jc w:val="center"/>
              <w:rPr>
                <w:sz w:val="16"/>
                <w:szCs w:val="16"/>
              </w:rPr>
            </w:pPr>
            <w:r w:rsidRPr="00B44CFB">
              <w:rPr>
                <w:sz w:val="16"/>
                <w:szCs w:val="16"/>
              </w:rPr>
              <w:t>+</w:t>
            </w:r>
          </w:p>
        </w:tc>
        <w:tc>
          <w:tcPr>
            <w:tcW w:w="535" w:type="pct"/>
            <w:hideMark/>
          </w:tcPr>
          <w:p w14:paraId="76716685" w14:textId="77777777" w:rsidR="00B44CFB" w:rsidRPr="00B44CFB" w:rsidRDefault="00B44CFB">
            <w:pPr>
              <w:spacing w:after="0"/>
              <w:ind w:right="-73"/>
              <w:jc w:val="right"/>
              <w:rPr>
                <w:sz w:val="16"/>
                <w:szCs w:val="16"/>
              </w:rPr>
            </w:pPr>
            <w:r w:rsidRPr="00B44CFB">
              <w:rPr>
                <w:sz w:val="16"/>
                <w:szCs w:val="16"/>
              </w:rPr>
              <w:t>0.009</w:t>
            </w:r>
          </w:p>
        </w:tc>
        <w:tc>
          <w:tcPr>
            <w:tcW w:w="363" w:type="pct"/>
            <w:vAlign w:val="center"/>
            <w:hideMark/>
          </w:tcPr>
          <w:p w14:paraId="7776F71F" w14:textId="77777777" w:rsidR="00B44CFB" w:rsidRPr="00B44CFB" w:rsidRDefault="00B44CFB">
            <w:pPr>
              <w:spacing w:after="0"/>
              <w:ind w:left="-90" w:right="-73"/>
              <w:rPr>
                <w:sz w:val="16"/>
                <w:szCs w:val="16"/>
              </w:rPr>
            </w:pPr>
            <w:r w:rsidRPr="00B44CFB">
              <w:rPr>
                <w:sz w:val="16"/>
                <w:szCs w:val="16"/>
              </w:rPr>
              <w:t>***</w:t>
            </w:r>
          </w:p>
        </w:tc>
        <w:tc>
          <w:tcPr>
            <w:tcW w:w="509" w:type="pct"/>
            <w:hideMark/>
          </w:tcPr>
          <w:p w14:paraId="29F35560" w14:textId="77777777" w:rsidR="00B44CFB" w:rsidRPr="00B44CFB" w:rsidRDefault="00B44CFB">
            <w:pPr>
              <w:spacing w:after="0"/>
              <w:ind w:right="-73"/>
              <w:jc w:val="right"/>
              <w:rPr>
                <w:color w:val="FF0000"/>
                <w:sz w:val="16"/>
                <w:szCs w:val="16"/>
              </w:rPr>
            </w:pPr>
            <w:r w:rsidRPr="00B44CFB">
              <w:rPr>
                <w:sz w:val="16"/>
                <w:szCs w:val="16"/>
              </w:rPr>
              <w:t>0.009</w:t>
            </w:r>
          </w:p>
        </w:tc>
        <w:tc>
          <w:tcPr>
            <w:tcW w:w="344" w:type="pct"/>
            <w:vAlign w:val="center"/>
            <w:hideMark/>
          </w:tcPr>
          <w:p w14:paraId="771F1A1D" w14:textId="77777777" w:rsidR="00B44CFB" w:rsidRPr="00B44CFB" w:rsidRDefault="00B44CFB">
            <w:pPr>
              <w:spacing w:after="0"/>
              <w:ind w:left="-143"/>
              <w:rPr>
                <w:color w:val="FF0000"/>
                <w:sz w:val="16"/>
                <w:szCs w:val="16"/>
              </w:rPr>
            </w:pPr>
            <w:r w:rsidRPr="00B44CFB">
              <w:rPr>
                <w:sz w:val="16"/>
                <w:szCs w:val="16"/>
              </w:rPr>
              <w:t>***</w:t>
            </w:r>
          </w:p>
        </w:tc>
        <w:tc>
          <w:tcPr>
            <w:tcW w:w="533" w:type="pct"/>
            <w:vAlign w:val="center"/>
            <w:hideMark/>
          </w:tcPr>
          <w:p w14:paraId="7F39CD5B" w14:textId="77777777" w:rsidR="00B44CFB" w:rsidRPr="00B44CFB" w:rsidRDefault="00B44CFB">
            <w:pPr>
              <w:spacing w:after="0"/>
              <w:ind w:right="-71"/>
              <w:jc w:val="right"/>
              <w:rPr>
                <w:sz w:val="16"/>
                <w:szCs w:val="16"/>
              </w:rPr>
            </w:pPr>
            <w:r w:rsidRPr="00B44CFB">
              <w:rPr>
                <w:sz w:val="16"/>
                <w:szCs w:val="16"/>
              </w:rPr>
              <w:t>0.015</w:t>
            </w:r>
          </w:p>
        </w:tc>
        <w:tc>
          <w:tcPr>
            <w:tcW w:w="445" w:type="pct"/>
            <w:hideMark/>
          </w:tcPr>
          <w:p w14:paraId="678821F4" w14:textId="77777777" w:rsidR="00B44CFB" w:rsidRPr="00B44CFB" w:rsidRDefault="00B44CFB">
            <w:pPr>
              <w:spacing w:after="0"/>
              <w:rPr>
                <w:sz w:val="16"/>
                <w:szCs w:val="16"/>
              </w:rPr>
            </w:pPr>
            <w:r w:rsidRPr="00B44CFB">
              <w:rPr>
                <w:sz w:val="16"/>
                <w:szCs w:val="16"/>
              </w:rPr>
              <w:t>***</w:t>
            </w:r>
          </w:p>
        </w:tc>
        <w:tc>
          <w:tcPr>
            <w:tcW w:w="548" w:type="pct"/>
            <w:vAlign w:val="center"/>
            <w:hideMark/>
          </w:tcPr>
          <w:p w14:paraId="6C8B7E41" w14:textId="77777777" w:rsidR="00B44CFB" w:rsidRPr="00B44CFB" w:rsidRDefault="00B44CFB">
            <w:pPr>
              <w:spacing w:after="0"/>
              <w:jc w:val="right"/>
              <w:rPr>
                <w:color w:val="FF0000"/>
                <w:sz w:val="16"/>
                <w:szCs w:val="16"/>
              </w:rPr>
            </w:pPr>
            <w:r w:rsidRPr="00B44CFB">
              <w:rPr>
                <w:sz w:val="16"/>
                <w:szCs w:val="16"/>
              </w:rPr>
              <w:t>0.020</w:t>
            </w:r>
          </w:p>
        </w:tc>
        <w:tc>
          <w:tcPr>
            <w:tcW w:w="430" w:type="pct"/>
            <w:hideMark/>
          </w:tcPr>
          <w:p w14:paraId="3E77840A" w14:textId="77777777" w:rsidR="00B44CFB" w:rsidRPr="00B44CFB" w:rsidRDefault="00B44CFB">
            <w:pPr>
              <w:spacing w:after="0"/>
              <w:rPr>
                <w:color w:val="FF0000"/>
                <w:sz w:val="16"/>
                <w:szCs w:val="16"/>
              </w:rPr>
            </w:pPr>
            <w:r w:rsidRPr="00B44CFB">
              <w:rPr>
                <w:sz w:val="16"/>
                <w:szCs w:val="16"/>
              </w:rPr>
              <w:t>***</w:t>
            </w:r>
          </w:p>
        </w:tc>
      </w:tr>
      <w:tr w:rsidR="00B44CFB" w:rsidRPr="00B44CFB" w14:paraId="20E31369" w14:textId="77777777" w:rsidTr="00B44CFB">
        <w:trPr>
          <w:jc w:val="center"/>
        </w:trPr>
        <w:tc>
          <w:tcPr>
            <w:tcW w:w="871" w:type="pct"/>
            <w:vAlign w:val="center"/>
            <w:hideMark/>
          </w:tcPr>
          <w:p w14:paraId="56C45662" w14:textId="77777777" w:rsidR="00B44CFB" w:rsidRPr="00B44CFB" w:rsidRDefault="00B44CFB" w:rsidP="00B44CFB">
            <w:pPr>
              <w:spacing w:after="0"/>
              <w:jc w:val="left"/>
              <w:rPr>
                <w:sz w:val="16"/>
                <w:szCs w:val="16"/>
              </w:rPr>
            </w:pPr>
            <w:r w:rsidRPr="00B44CFB">
              <w:rPr>
                <w:sz w:val="16"/>
                <w:szCs w:val="16"/>
              </w:rPr>
              <w:t>GB</w:t>
            </w:r>
          </w:p>
        </w:tc>
        <w:tc>
          <w:tcPr>
            <w:tcW w:w="421" w:type="pct"/>
            <w:vAlign w:val="center"/>
            <w:hideMark/>
          </w:tcPr>
          <w:p w14:paraId="4532DB12" w14:textId="77777777" w:rsidR="00B44CFB" w:rsidRPr="00B44CFB" w:rsidRDefault="00B44CFB">
            <w:pPr>
              <w:spacing w:after="0"/>
              <w:ind w:right="-73"/>
              <w:jc w:val="center"/>
              <w:rPr>
                <w:sz w:val="16"/>
                <w:szCs w:val="16"/>
              </w:rPr>
            </w:pPr>
            <w:r w:rsidRPr="00B44CFB">
              <w:rPr>
                <w:sz w:val="16"/>
                <w:szCs w:val="16"/>
              </w:rPr>
              <w:t>+</w:t>
            </w:r>
          </w:p>
        </w:tc>
        <w:tc>
          <w:tcPr>
            <w:tcW w:w="535" w:type="pct"/>
            <w:hideMark/>
          </w:tcPr>
          <w:p w14:paraId="4B0B29D7" w14:textId="77777777" w:rsidR="00B44CFB" w:rsidRPr="00B44CFB" w:rsidRDefault="00B44CFB">
            <w:pPr>
              <w:spacing w:after="0"/>
              <w:ind w:right="-73"/>
              <w:jc w:val="right"/>
              <w:rPr>
                <w:sz w:val="16"/>
                <w:szCs w:val="16"/>
              </w:rPr>
            </w:pPr>
            <w:r w:rsidRPr="00B44CFB">
              <w:rPr>
                <w:sz w:val="16"/>
                <w:szCs w:val="16"/>
              </w:rPr>
              <w:t>-0.002</w:t>
            </w:r>
          </w:p>
        </w:tc>
        <w:tc>
          <w:tcPr>
            <w:tcW w:w="363" w:type="pct"/>
            <w:vAlign w:val="center"/>
          </w:tcPr>
          <w:p w14:paraId="0650F0F4" w14:textId="77777777" w:rsidR="00B44CFB" w:rsidRPr="00B44CFB" w:rsidRDefault="00B44CFB">
            <w:pPr>
              <w:spacing w:after="0"/>
              <w:ind w:left="-90" w:right="-73"/>
              <w:rPr>
                <w:sz w:val="16"/>
                <w:szCs w:val="16"/>
              </w:rPr>
            </w:pPr>
          </w:p>
        </w:tc>
        <w:tc>
          <w:tcPr>
            <w:tcW w:w="509" w:type="pct"/>
            <w:hideMark/>
          </w:tcPr>
          <w:p w14:paraId="6A387DEE" w14:textId="77777777" w:rsidR="00B44CFB" w:rsidRPr="00B44CFB" w:rsidRDefault="00B44CFB">
            <w:pPr>
              <w:spacing w:after="0"/>
              <w:ind w:right="-73"/>
              <w:jc w:val="right"/>
              <w:rPr>
                <w:color w:val="FF0000"/>
                <w:sz w:val="16"/>
                <w:szCs w:val="16"/>
              </w:rPr>
            </w:pPr>
            <w:r w:rsidRPr="00B44CFB">
              <w:rPr>
                <w:sz w:val="16"/>
                <w:szCs w:val="16"/>
              </w:rPr>
              <w:t>0.027</w:t>
            </w:r>
          </w:p>
        </w:tc>
        <w:tc>
          <w:tcPr>
            <w:tcW w:w="344" w:type="pct"/>
            <w:vAlign w:val="center"/>
          </w:tcPr>
          <w:p w14:paraId="144403A2" w14:textId="77777777" w:rsidR="00B44CFB" w:rsidRPr="00B44CFB" w:rsidRDefault="00B44CFB">
            <w:pPr>
              <w:spacing w:after="0"/>
              <w:ind w:left="-143"/>
              <w:rPr>
                <w:color w:val="FF0000"/>
                <w:sz w:val="16"/>
                <w:szCs w:val="16"/>
              </w:rPr>
            </w:pPr>
          </w:p>
        </w:tc>
        <w:tc>
          <w:tcPr>
            <w:tcW w:w="533" w:type="pct"/>
            <w:vAlign w:val="center"/>
            <w:hideMark/>
          </w:tcPr>
          <w:p w14:paraId="104C0E1C" w14:textId="77777777" w:rsidR="00B44CFB" w:rsidRPr="00B44CFB" w:rsidRDefault="00B44CFB">
            <w:pPr>
              <w:spacing w:after="0"/>
              <w:ind w:right="-71"/>
              <w:jc w:val="right"/>
              <w:rPr>
                <w:sz w:val="16"/>
                <w:szCs w:val="16"/>
              </w:rPr>
            </w:pPr>
            <w:r w:rsidRPr="00B44CFB">
              <w:rPr>
                <w:sz w:val="16"/>
                <w:szCs w:val="16"/>
              </w:rPr>
              <w:t>-0.010</w:t>
            </w:r>
          </w:p>
        </w:tc>
        <w:tc>
          <w:tcPr>
            <w:tcW w:w="445" w:type="pct"/>
          </w:tcPr>
          <w:p w14:paraId="50C5FABF" w14:textId="77777777" w:rsidR="00B44CFB" w:rsidRPr="00B44CFB" w:rsidRDefault="00B44CFB">
            <w:pPr>
              <w:spacing w:after="0"/>
              <w:rPr>
                <w:sz w:val="16"/>
                <w:szCs w:val="16"/>
              </w:rPr>
            </w:pPr>
          </w:p>
        </w:tc>
        <w:tc>
          <w:tcPr>
            <w:tcW w:w="548" w:type="pct"/>
            <w:vAlign w:val="center"/>
            <w:hideMark/>
          </w:tcPr>
          <w:p w14:paraId="56316287" w14:textId="77777777" w:rsidR="00B44CFB" w:rsidRPr="00B44CFB" w:rsidRDefault="00B44CFB">
            <w:pPr>
              <w:spacing w:after="0"/>
              <w:jc w:val="right"/>
              <w:rPr>
                <w:color w:val="FF0000"/>
                <w:sz w:val="16"/>
                <w:szCs w:val="16"/>
              </w:rPr>
            </w:pPr>
            <w:r w:rsidRPr="00B44CFB">
              <w:rPr>
                <w:sz w:val="16"/>
                <w:szCs w:val="16"/>
              </w:rPr>
              <w:t>-0.122</w:t>
            </w:r>
          </w:p>
        </w:tc>
        <w:tc>
          <w:tcPr>
            <w:tcW w:w="430" w:type="pct"/>
          </w:tcPr>
          <w:p w14:paraId="3F9DB986" w14:textId="77777777" w:rsidR="00B44CFB" w:rsidRPr="00B44CFB" w:rsidRDefault="00B44CFB">
            <w:pPr>
              <w:spacing w:after="0"/>
              <w:rPr>
                <w:color w:val="FF0000"/>
                <w:sz w:val="16"/>
                <w:szCs w:val="16"/>
              </w:rPr>
            </w:pPr>
          </w:p>
        </w:tc>
      </w:tr>
      <w:tr w:rsidR="00B44CFB" w:rsidRPr="00B44CFB" w14:paraId="03BD3A86" w14:textId="77777777" w:rsidTr="00B44CFB">
        <w:trPr>
          <w:jc w:val="center"/>
        </w:trPr>
        <w:tc>
          <w:tcPr>
            <w:tcW w:w="871" w:type="pct"/>
            <w:vAlign w:val="center"/>
            <w:hideMark/>
          </w:tcPr>
          <w:p w14:paraId="426C72CB" w14:textId="77777777" w:rsidR="00B44CFB" w:rsidRPr="00B44CFB" w:rsidRDefault="00B44CFB" w:rsidP="00B44CFB">
            <w:pPr>
              <w:spacing w:after="0"/>
              <w:jc w:val="left"/>
              <w:rPr>
                <w:sz w:val="16"/>
                <w:szCs w:val="16"/>
              </w:rPr>
            </w:pPr>
            <w:r w:rsidRPr="00B44CFB">
              <w:rPr>
                <w:sz w:val="16"/>
                <w:szCs w:val="16"/>
              </w:rPr>
              <w:t>GOV</w:t>
            </w:r>
          </w:p>
        </w:tc>
        <w:tc>
          <w:tcPr>
            <w:tcW w:w="421" w:type="pct"/>
            <w:vAlign w:val="center"/>
            <w:hideMark/>
          </w:tcPr>
          <w:p w14:paraId="557CB2CE" w14:textId="77777777" w:rsidR="00B44CFB" w:rsidRPr="00B44CFB" w:rsidRDefault="00B44CFB">
            <w:pPr>
              <w:spacing w:after="0"/>
              <w:ind w:right="-73"/>
              <w:jc w:val="center"/>
              <w:rPr>
                <w:sz w:val="16"/>
                <w:szCs w:val="16"/>
              </w:rPr>
            </w:pPr>
            <w:r w:rsidRPr="00B44CFB">
              <w:rPr>
                <w:sz w:val="16"/>
                <w:szCs w:val="16"/>
              </w:rPr>
              <w:t>+</w:t>
            </w:r>
          </w:p>
        </w:tc>
        <w:tc>
          <w:tcPr>
            <w:tcW w:w="535" w:type="pct"/>
            <w:hideMark/>
          </w:tcPr>
          <w:p w14:paraId="2BE4799B" w14:textId="77777777" w:rsidR="00B44CFB" w:rsidRPr="00B44CFB" w:rsidRDefault="00B44CFB">
            <w:pPr>
              <w:spacing w:after="0"/>
              <w:ind w:right="-73"/>
              <w:jc w:val="right"/>
              <w:rPr>
                <w:sz w:val="16"/>
                <w:szCs w:val="16"/>
              </w:rPr>
            </w:pPr>
            <w:r w:rsidRPr="00B44CFB">
              <w:rPr>
                <w:sz w:val="16"/>
                <w:szCs w:val="16"/>
              </w:rPr>
              <w:t>0.004</w:t>
            </w:r>
          </w:p>
        </w:tc>
        <w:tc>
          <w:tcPr>
            <w:tcW w:w="363" w:type="pct"/>
            <w:vAlign w:val="center"/>
          </w:tcPr>
          <w:p w14:paraId="7719F0F1" w14:textId="77777777" w:rsidR="00B44CFB" w:rsidRPr="00B44CFB" w:rsidRDefault="00B44CFB">
            <w:pPr>
              <w:spacing w:after="0"/>
              <w:ind w:left="-90" w:right="-73"/>
              <w:rPr>
                <w:sz w:val="16"/>
                <w:szCs w:val="16"/>
              </w:rPr>
            </w:pPr>
          </w:p>
        </w:tc>
        <w:tc>
          <w:tcPr>
            <w:tcW w:w="509" w:type="pct"/>
            <w:hideMark/>
          </w:tcPr>
          <w:p w14:paraId="393D5240" w14:textId="77777777" w:rsidR="00B44CFB" w:rsidRPr="00B44CFB" w:rsidRDefault="00B44CFB">
            <w:pPr>
              <w:spacing w:after="0"/>
              <w:ind w:right="-73"/>
              <w:jc w:val="right"/>
              <w:rPr>
                <w:color w:val="FF0000"/>
                <w:sz w:val="16"/>
                <w:szCs w:val="16"/>
              </w:rPr>
            </w:pPr>
            <w:r w:rsidRPr="00B44CFB">
              <w:rPr>
                <w:sz w:val="16"/>
                <w:szCs w:val="16"/>
              </w:rPr>
              <w:t>-0.012</w:t>
            </w:r>
          </w:p>
        </w:tc>
        <w:tc>
          <w:tcPr>
            <w:tcW w:w="344" w:type="pct"/>
            <w:vAlign w:val="center"/>
          </w:tcPr>
          <w:p w14:paraId="00892F1B" w14:textId="77777777" w:rsidR="00B44CFB" w:rsidRPr="00B44CFB" w:rsidRDefault="00B44CFB">
            <w:pPr>
              <w:spacing w:after="0"/>
              <w:ind w:left="-143"/>
              <w:rPr>
                <w:color w:val="FF0000"/>
                <w:sz w:val="16"/>
                <w:szCs w:val="16"/>
              </w:rPr>
            </w:pPr>
          </w:p>
        </w:tc>
        <w:tc>
          <w:tcPr>
            <w:tcW w:w="533" w:type="pct"/>
            <w:vAlign w:val="center"/>
            <w:hideMark/>
          </w:tcPr>
          <w:p w14:paraId="29E0C7B9" w14:textId="77777777" w:rsidR="00B44CFB" w:rsidRPr="00B44CFB" w:rsidRDefault="00B44CFB">
            <w:pPr>
              <w:spacing w:after="0"/>
              <w:ind w:right="-71"/>
              <w:jc w:val="right"/>
              <w:rPr>
                <w:sz w:val="16"/>
                <w:szCs w:val="16"/>
              </w:rPr>
            </w:pPr>
            <w:r w:rsidRPr="00B44CFB">
              <w:rPr>
                <w:sz w:val="16"/>
                <w:szCs w:val="16"/>
              </w:rPr>
              <w:t>-0.049</w:t>
            </w:r>
          </w:p>
        </w:tc>
        <w:tc>
          <w:tcPr>
            <w:tcW w:w="445" w:type="pct"/>
            <w:hideMark/>
          </w:tcPr>
          <w:p w14:paraId="2F5ABE6E" w14:textId="77777777" w:rsidR="00B44CFB" w:rsidRPr="00B44CFB" w:rsidRDefault="00B44CFB">
            <w:pPr>
              <w:spacing w:after="0"/>
              <w:rPr>
                <w:sz w:val="16"/>
                <w:szCs w:val="16"/>
              </w:rPr>
            </w:pPr>
            <w:r w:rsidRPr="00B44CFB">
              <w:rPr>
                <w:sz w:val="16"/>
                <w:szCs w:val="16"/>
              </w:rPr>
              <w:t>***</w:t>
            </w:r>
          </w:p>
        </w:tc>
        <w:tc>
          <w:tcPr>
            <w:tcW w:w="548" w:type="pct"/>
            <w:vAlign w:val="center"/>
            <w:hideMark/>
          </w:tcPr>
          <w:p w14:paraId="4748461C" w14:textId="77777777" w:rsidR="00B44CFB" w:rsidRPr="00B44CFB" w:rsidRDefault="00B44CFB">
            <w:pPr>
              <w:spacing w:after="0"/>
              <w:jc w:val="right"/>
              <w:rPr>
                <w:color w:val="FF0000"/>
                <w:sz w:val="16"/>
                <w:szCs w:val="16"/>
              </w:rPr>
            </w:pPr>
            <w:r w:rsidRPr="00B44CFB">
              <w:rPr>
                <w:sz w:val="16"/>
                <w:szCs w:val="16"/>
              </w:rPr>
              <w:t>0.249</w:t>
            </w:r>
          </w:p>
        </w:tc>
        <w:tc>
          <w:tcPr>
            <w:tcW w:w="430" w:type="pct"/>
            <w:hideMark/>
          </w:tcPr>
          <w:p w14:paraId="3AB66E96" w14:textId="77777777" w:rsidR="00B44CFB" w:rsidRPr="00B44CFB" w:rsidRDefault="00B44CFB">
            <w:pPr>
              <w:spacing w:after="0"/>
              <w:rPr>
                <w:color w:val="FF0000"/>
                <w:sz w:val="16"/>
                <w:szCs w:val="16"/>
              </w:rPr>
            </w:pPr>
            <w:r w:rsidRPr="00B44CFB">
              <w:rPr>
                <w:sz w:val="16"/>
                <w:szCs w:val="16"/>
              </w:rPr>
              <w:t>***</w:t>
            </w:r>
          </w:p>
        </w:tc>
      </w:tr>
      <w:tr w:rsidR="00B44CFB" w:rsidRPr="00B44CFB" w14:paraId="4430CAB1" w14:textId="77777777" w:rsidTr="00B44CFB">
        <w:trPr>
          <w:jc w:val="center"/>
        </w:trPr>
        <w:tc>
          <w:tcPr>
            <w:tcW w:w="871" w:type="pct"/>
            <w:vAlign w:val="center"/>
            <w:hideMark/>
          </w:tcPr>
          <w:p w14:paraId="0D7AEBD8" w14:textId="77777777" w:rsidR="00B44CFB" w:rsidRPr="00B44CFB" w:rsidRDefault="00B44CFB" w:rsidP="00B44CFB">
            <w:pPr>
              <w:spacing w:after="0"/>
              <w:jc w:val="left"/>
              <w:rPr>
                <w:sz w:val="16"/>
                <w:szCs w:val="16"/>
              </w:rPr>
            </w:pPr>
            <w:r w:rsidRPr="00B44CFB">
              <w:rPr>
                <w:sz w:val="16"/>
                <w:szCs w:val="16"/>
              </w:rPr>
              <w:t>ESG*GB</w:t>
            </w:r>
          </w:p>
        </w:tc>
        <w:tc>
          <w:tcPr>
            <w:tcW w:w="421" w:type="pct"/>
            <w:vAlign w:val="center"/>
            <w:hideMark/>
          </w:tcPr>
          <w:p w14:paraId="3FB663AF" w14:textId="77777777" w:rsidR="00B44CFB" w:rsidRPr="00B44CFB" w:rsidRDefault="00B44CFB">
            <w:pPr>
              <w:spacing w:after="0"/>
              <w:ind w:right="-73"/>
              <w:jc w:val="center"/>
              <w:rPr>
                <w:sz w:val="16"/>
                <w:szCs w:val="16"/>
              </w:rPr>
            </w:pPr>
            <w:r w:rsidRPr="00B44CFB">
              <w:rPr>
                <w:sz w:val="16"/>
                <w:szCs w:val="16"/>
              </w:rPr>
              <w:t>+</w:t>
            </w:r>
          </w:p>
        </w:tc>
        <w:tc>
          <w:tcPr>
            <w:tcW w:w="535" w:type="pct"/>
          </w:tcPr>
          <w:p w14:paraId="531AFC7A" w14:textId="77777777" w:rsidR="00B44CFB" w:rsidRPr="00B44CFB" w:rsidRDefault="00B44CFB">
            <w:pPr>
              <w:spacing w:after="0"/>
              <w:ind w:right="-73"/>
              <w:jc w:val="right"/>
              <w:rPr>
                <w:sz w:val="16"/>
                <w:szCs w:val="16"/>
              </w:rPr>
            </w:pPr>
          </w:p>
        </w:tc>
        <w:tc>
          <w:tcPr>
            <w:tcW w:w="363" w:type="pct"/>
            <w:vAlign w:val="center"/>
          </w:tcPr>
          <w:p w14:paraId="4D54AE3C" w14:textId="77777777" w:rsidR="00B44CFB" w:rsidRPr="00B44CFB" w:rsidRDefault="00B44CFB">
            <w:pPr>
              <w:spacing w:after="0"/>
              <w:ind w:left="-90" w:right="-73"/>
              <w:rPr>
                <w:sz w:val="16"/>
                <w:szCs w:val="16"/>
              </w:rPr>
            </w:pPr>
          </w:p>
        </w:tc>
        <w:tc>
          <w:tcPr>
            <w:tcW w:w="509" w:type="pct"/>
            <w:hideMark/>
          </w:tcPr>
          <w:p w14:paraId="44AD0C70" w14:textId="77777777" w:rsidR="00B44CFB" w:rsidRPr="00B44CFB" w:rsidRDefault="00B44CFB">
            <w:pPr>
              <w:spacing w:after="0"/>
              <w:ind w:right="-73"/>
              <w:jc w:val="right"/>
              <w:rPr>
                <w:color w:val="FF0000"/>
                <w:sz w:val="16"/>
                <w:szCs w:val="16"/>
              </w:rPr>
            </w:pPr>
            <w:r w:rsidRPr="00B44CFB">
              <w:rPr>
                <w:sz w:val="16"/>
                <w:szCs w:val="16"/>
              </w:rPr>
              <w:t>-0.004</w:t>
            </w:r>
          </w:p>
        </w:tc>
        <w:tc>
          <w:tcPr>
            <w:tcW w:w="344" w:type="pct"/>
            <w:vAlign w:val="center"/>
          </w:tcPr>
          <w:p w14:paraId="3DC2F9F5" w14:textId="77777777" w:rsidR="00B44CFB" w:rsidRPr="00B44CFB" w:rsidRDefault="00B44CFB">
            <w:pPr>
              <w:spacing w:after="0"/>
              <w:ind w:left="-143"/>
              <w:rPr>
                <w:color w:val="FF0000"/>
                <w:sz w:val="16"/>
                <w:szCs w:val="16"/>
              </w:rPr>
            </w:pPr>
          </w:p>
        </w:tc>
        <w:tc>
          <w:tcPr>
            <w:tcW w:w="533" w:type="pct"/>
            <w:vAlign w:val="center"/>
          </w:tcPr>
          <w:p w14:paraId="7BFBFA9A" w14:textId="77777777" w:rsidR="00B44CFB" w:rsidRPr="00B44CFB" w:rsidRDefault="00B44CFB">
            <w:pPr>
              <w:spacing w:after="0"/>
              <w:ind w:right="-71"/>
              <w:jc w:val="right"/>
              <w:rPr>
                <w:sz w:val="16"/>
                <w:szCs w:val="16"/>
              </w:rPr>
            </w:pPr>
          </w:p>
        </w:tc>
        <w:tc>
          <w:tcPr>
            <w:tcW w:w="445" w:type="pct"/>
          </w:tcPr>
          <w:p w14:paraId="0CC9D48B" w14:textId="77777777" w:rsidR="00B44CFB" w:rsidRPr="00B44CFB" w:rsidRDefault="00B44CFB">
            <w:pPr>
              <w:spacing w:after="0"/>
              <w:rPr>
                <w:sz w:val="16"/>
                <w:szCs w:val="16"/>
              </w:rPr>
            </w:pPr>
          </w:p>
        </w:tc>
        <w:tc>
          <w:tcPr>
            <w:tcW w:w="548" w:type="pct"/>
            <w:vAlign w:val="center"/>
            <w:hideMark/>
          </w:tcPr>
          <w:p w14:paraId="35EB8FDE" w14:textId="77777777" w:rsidR="00B44CFB" w:rsidRPr="00B44CFB" w:rsidRDefault="00B44CFB">
            <w:pPr>
              <w:spacing w:after="0"/>
              <w:jc w:val="right"/>
              <w:rPr>
                <w:color w:val="FF0000"/>
                <w:sz w:val="16"/>
                <w:szCs w:val="16"/>
              </w:rPr>
            </w:pPr>
            <w:r w:rsidRPr="00B44CFB">
              <w:rPr>
                <w:sz w:val="16"/>
                <w:szCs w:val="16"/>
              </w:rPr>
              <w:t>0.014</w:t>
            </w:r>
          </w:p>
        </w:tc>
        <w:tc>
          <w:tcPr>
            <w:tcW w:w="430" w:type="pct"/>
          </w:tcPr>
          <w:p w14:paraId="28FB1A68" w14:textId="77777777" w:rsidR="00B44CFB" w:rsidRPr="00B44CFB" w:rsidRDefault="00B44CFB">
            <w:pPr>
              <w:spacing w:after="0"/>
              <w:rPr>
                <w:color w:val="FF0000"/>
                <w:sz w:val="16"/>
                <w:szCs w:val="16"/>
              </w:rPr>
            </w:pPr>
          </w:p>
        </w:tc>
      </w:tr>
      <w:tr w:rsidR="00B44CFB" w:rsidRPr="00B44CFB" w14:paraId="26E69953" w14:textId="77777777" w:rsidTr="00B44CFB">
        <w:trPr>
          <w:jc w:val="center"/>
        </w:trPr>
        <w:tc>
          <w:tcPr>
            <w:tcW w:w="871" w:type="pct"/>
            <w:vAlign w:val="center"/>
            <w:hideMark/>
          </w:tcPr>
          <w:p w14:paraId="1EDCCA02" w14:textId="77777777" w:rsidR="00B44CFB" w:rsidRPr="00B44CFB" w:rsidRDefault="00B44CFB" w:rsidP="00B44CFB">
            <w:pPr>
              <w:spacing w:after="0"/>
              <w:jc w:val="left"/>
              <w:rPr>
                <w:sz w:val="16"/>
                <w:szCs w:val="16"/>
              </w:rPr>
            </w:pPr>
            <w:r w:rsidRPr="00B44CFB">
              <w:rPr>
                <w:sz w:val="16"/>
                <w:szCs w:val="16"/>
              </w:rPr>
              <w:t>ESG*GOV</w:t>
            </w:r>
          </w:p>
        </w:tc>
        <w:tc>
          <w:tcPr>
            <w:tcW w:w="421" w:type="pct"/>
            <w:vAlign w:val="center"/>
            <w:hideMark/>
          </w:tcPr>
          <w:p w14:paraId="173E832C" w14:textId="77777777" w:rsidR="00B44CFB" w:rsidRPr="00B44CFB" w:rsidRDefault="00B44CFB">
            <w:pPr>
              <w:spacing w:after="0"/>
              <w:ind w:right="-73"/>
              <w:jc w:val="center"/>
              <w:rPr>
                <w:sz w:val="16"/>
                <w:szCs w:val="16"/>
              </w:rPr>
            </w:pPr>
            <w:r w:rsidRPr="00B44CFB">
              <w:rPr>
                <w:sz w:val="16"/>
                <w:szCs w:val="16"/>
              </w:rPr>
              <w:t>+</w:t>
            </w:r>
          </w:p>
        </w:tc>
        <w:tc>
          <w:tcPr>
            <w:tcW w:w="535" w:type="pct"/>
          </w:tcPr>
          <w:p w14:paraId="543AFDA8" w14:textId="77777777" w:rsidR="00B44CFB" w:rsidRPr="00B44CFB" w:rsidRDefault="00B44CFB">
            <w:pPr>
              <w:spacing w:after="0"/>
              <w:ind w:right="-73"/>
              <w:jc w:val="right"/>
              <w:rPr>
                <w:sz w:val="16"/>
                <w:szCs w:val="16"/>
              </w:rPr>
            </w:pPr>
          </w:p>
        </w:tc>
        <w:tc>
          <w:tcPr>
            <w:tcW w:w="363" w:type="pct"/>
            <w:vAlign w:val="center"/>
          </w:tcPr>
          <w:p w14:paraId="76220B97" w14:textId="77777777" w:rsidR="00B44CFB" w:rsidRPr="00B44CFB" w:rsidRDefault="00B44CFB">
            <w:pPr>
              <w:spacing w:after="0"/>
              <w:ind w:left="-90" w:right="-73"/>
              <w:rPr>
                <w:sz w:val="16"/>
                <w:szCs w:val="16"/>
              </w:rPr>
            </w:pPr>
          </w:p>
        </w:tc>
        <w:tc>
          <w:tcPr>
            <w:tcW w:w="509" w:type="pct"/>
            <w:hideMark/>
          </w:tcPr>
          <w:p w14:paraId="13239FD6" w14:textId="77777777" w:rsidR="00B44CFB" w:rsidRPr="00B44CFB" w:rsidRDefault="00B44CFB">
            <w:pPr>
              <w:spacing w:after="0"/>
              <w:ind w:right="-73"/>
              <w:jc w:val="right"/>
              <w:rPr>
                <w:color w:val="FF0000"/>
                <w:sz w:val="16"/>
                <w:szCs w:val="16"/>
              </w:rPr>
            </w:pPr>
            <w:r w:rsidRPr="00B44CFB">
              <w:rPr>
                <w:sz w:val="16"/>
                <w:szCs w:val="16"/>
              </w:rPr>
              <w:t>0.002</w:t>
            </w:r>
          </w:p>
        </w:tc>
        <w:tc>
          <w:tcPr>
            <w:tcW w:w="344" w:type="pct"/>
            <w:vAlign w:val="center"/>
          </w:tcPr>
          <w:p w14:paraId="58B79182" w14:textId="77777777" w:rsidR="00B44CFB" w:rsidRPr="00B44CFB" w:rsidRDefault="00B44CFB">
            <w:pPr>
              <w:spacing w:after="0"/>
              <w:ind w:left="-143"/>
              <w:rPr>
                <w:color w:val="FF0000"/>
                <w:sz w:val="16"/>
                <w:szCs w:val="16"/>
              </w:rPr>
            </w:pPr>
          </w:p>
        </w:tc>
        <w:tc>
          <w:tcPr>
            <w:tcW w:w="533" w:type="pct"/>
            <w:vAlign w:val="center"/>
          </w:tcPr>
          <w:p w14:paraId="15560DFB" w14:textId="77777777" w:rsidR="00B44CFB" w:rsidRPr="00B44CFB" w:rsidRDefault="00B44CFB">
            <w:pPr>
              <w:spacing w:after="0"/>
              <w:ind w:right="-71"/>
              <w:jc w:val="right"/>
              <w:rPr>
                <w:sz w:val="16"/>
                <w:szCs w:val="16"/>
              </w:rPr>
            </w:pPr>
          </w:p>
        </w:tc>
        <w:tc>
          <w:tcPr>
            <w:tcW w:w="445" w:type="pct"/>
          </w:tcPr>
          <w:p w14:paraId="21632349" w14:textId="77777777" w:rsidR="00B44CFB" w:rsidRPr="00B44CFB" w:rsidRDefault="00B44CFB">
            <w:pPr>
              <w:spacing w:after="0"/>
              <w:ind w:left="-55"/>
              <w:rPr>
                <w:sz w:val="16"/>
                <w:szCs w:val="16"/>
              </w:rPr>
            </w:pPr>
          </w:p>
        </w:tc>
        <w:tc>
          <w:tcPr>
            <w:tcW w:w="548" w:type="pct"/>
            <w:vAlign w:val="center"/>
            <w:hideMark/>
          </w:tcPr>
          <w:p w14:paraId="734D7DD6" w14:textId="77777777" w:rsidR="00B44CFB" w:rsidRPr="00B44CFB" w:rsidRDefault="00B44CFB">
            <w:pPr>
              <w:spacing w:after="0"/>
              <w:ind w:left="-55"/>
              <w:jc w:val="right"/>
              <w:rPr>
                <w:color w:val="FF0000"/>
                <w:sz w:val="16"/>
                <w:szCs w:val="16"/>
              </w:rPr>
            </w:pPr>
            <w:r w:rsidRPr="00B44CFB">
              <w:rPr>
                <w:sz w:val="16"/>
                <w:szCs w:val="16"/>
              </w:rPr>
              <w:t>-0.038</w:t>
            </w:r>
          </w:p>
        </w:tc>
        <w:tc>
          <w:tcPr>
            <w:tcW w:w="430" w:type="pct"/>
            <w:hideMark/>
          </w:tcPr>
          <w:p w14:paraId="7EE15E2B" w14:textId="77777777" w:rsidR="00B44CFB" w:rsidRPr="00B44CFB" w:rsidRDefault="00B44CFB">
            <w:pPr>
              <w:spacing w:after="0"/>
              <w:ind w:left="-55"/>
              <w:rPr>
                <w:color w:val="FF0000"/>
                <w:sz w:val="16"/>
                <w:szCs w:val="16"/>
              </w:rPr>
            </w:pPr>
            <w:r w:rsidRPr="00B44CFB">
              <w:rPr>
                <w:sz w:val="16"/>
                <w:szCs w:val="16"/>
              </w:rPr>
              <w:t>***</w:t>
            </w:r>
          </w:p>
        </w:tc>
      </w:tr>
      <w:tr w:rsidR="00B44CFB" w:rsidRPr="00B44CFB" w14:paraId="04B23D1B" w14:textId="77777777" w:rsidTr="00B44CFB">
        <w:trPr>
          <w:jc w:val="center"/>
        </w:trPr>
        <w:tc>
          <w:tcPr>
            <w:tcW w:w="871" w:type="pct"/>
            <w:vAlign w:val="center"/>
            <w:hideMark/>
          </w:tcPr>
          <w:p w14:paraId="7794C8CF" w14:textId="77777777" w:rsidR="00B44CFB" w:rsidRPr="00B44CFB" w:rsidRDefault="00B44CFB" w:rsidP="00B44CFB">
            <w:pPr>
              <w:spacing w:after="0"/>
              <w:jc w:val="left"/>
              <w:rPr>
                <w:sz w:val="16"/>
                <w:szCs w:val="16"/>
              </w:rPr>
            </w:pPr>
            <w:proofErr w:type="spellStart"/>
            <w:r w:rsidRPr="00B44CFB">
              <w:rPr>
                <w:sz w:val="16"/>
                <w:szCs w:val="16"/>
              </w:rPr>
              <w:t>LnSIZE</w:t>
            </w:r>
            <w:proofErr w:type="spellEnd"/>
          </w:p>
        </w:tc>
        <w:tc>
          <w:tcPr>
            <w:tcW w:w="421" w:type="pct"/>
            <w:vAlign w:val="center"/>
            <w:hideMark/>
          </w:tcPr>
          <w:p w14:paraId="21E8AE3A" w14:textId="77777777" w:rsidR="00B44CFB" w:rsidRPr="00B44CFB" w:rsidRDefault="00B44CFB">
            <w:pPr>
              <w:spacing w:after="0"/>
              <w:ind w:right="-73"/>
              <w:jc w:val="center"/>
              <w:rPr>
                <w:sz w:val="16"/>
                <w:szCs w:val="16"/>
              </w:rPr>
            </w:pPr>
            <w:r w:rsidRPr="00B44CFB">
              <w:rPr>
                <w:sz w:val="16"/>
                <w:szCs w:val="16"/>
              </w:rPr>
              <w:t>+/-</w:t>
            </w:r>
          </w:p>
        </w:tc>
        <w:tc>
          <w:tcPr>
            <w:tcW w:w="535" w:type="pct"/>
            <w:hideMark/>
          </w:tcPr>
          <w:p w14:paraId="7670B8D0" w14:textId="77777777" w:rsidR="00B44CFB" w:rsidRPr="00B44CFB" w:rsidRDefault="00B44CFB">
            <w:pPr>
              <w:spacing w:after="0"/>
              <w:ind w:right="-73"/>
              <w:jc w:val="right"/>
              <w:rPr>
                <w:sz w:val="16"/>
                <w:szCs w:val="16"/>
              </w:rPr>
            </w:pPr>
            <w:r w:rsidRPr="00B44CFB">
              <w:rPr>
                <w:sz w:val="16"/>
                <w:szCs w:val="16"/>
              </w:rPr>
              <w:t>0.002</w:t>
            </w:r>
          </w:p>
        </w:tc>
        <w:tc>
          <w:tcPr>
            <w:tcW w:w="363" w:type="pct"/>
            <w:vAlign w:val="center"/>
            <w:hideMark/>
          </w:tcPr>
          <w:p w14:paraId="5D6F0A48" w14:textId="77777777" w:rsidR="00B44CFB" w:rsidRPr="00B44CFB" w:rsidRDefault="00B44CFB">
            <w:pPr>
              <w:spacing w:after="0"/>
              <w:ind w:left="-90" w:right="-73"/>
              <w:rPr>
                <w:sz w:val="16"/>
                <w:szCs w:val="16"/>
              </w:rPr>
            </w:pPr>
            <w:r w:rsidRPr="00B44CFB">
              <w:rPr>
                <w:sz w:val="16"/>
                <w:szCs w:val="16"/>
              </w:rPr>
              <w:t>***</w:t>
            </w:r>
          </w:p>
        </w:tc>
        <w:tc>
          <w:tcPr>
            <w:tcW w:w="509" w:type="pct"/>
            <w:hideMark/>
          </w:tcPr>
          <w:p w14:paraId="07EA5CC7" w14:textId="77777777" w:rsidR="00B44CFB" w:rsidRPr="00B44CFB" w:rsidRDefault="00B44CFB">
            <w:pPr>
              <w:spacing w:after="0"/>
              <w:ind w:right="-73"/>
              <w:jc w:val="right"/>
              <w:rPr>
                <w:color w:val="FF0000"/>
                <w:sz w:val="16"/>
                <w:szCs w:val="16"/>
              </w:rPr>
            </w:pPr>
            <w:r w:rsidRPr="00B44CFB">
              <w:rPr>
                <w:sz w:val="16"/>
                <w:szCs w:val="16"/>
              </w:rPr>
              <w:t>0.002</w:t>
            </w:r>
          </w:p>
        </w:tc>
        <w:tc>
          <w:tcPr>
            <w:tcW w:w="344" w:type="pct"/>
            <w:vAlign w:val="center"/>
            <w:hideMark/>
          </w:tcPr>
          <w:p w14:paraId="44F5F1FE" w14:textId="77777777" w:rsidR="00B44CFB" w:rsidRPr="00B44CFB" w:rsidRDefault="00B44CFB">
            <w:pPr>
              <w:spacing w:after="0"/>
              <w:ind w:left="-143"/>
              <w:rPr>
                <w:color w:val="FF0000"/>
                <w:sz w:val="16"/>
                <w:szCs w:val="16"/>
              </w:rPr>
            </w:pPr>
            <w:r w:rsidRPr="00B44CFB">
              <w:rPr>
                <w:sz w:val="16"/>
                <w:szCs w:val="16"/>
              </w:rPr>
              <w:t>***</w:t>
            </w:r>
          </w:p>
        </w:tc>
        <w:tc>
          <w:tcPr>
            <w:tcW w:w="533" w:type="pct"/>
            <w:vAlign w:val="center"/>
            <w:hideMark/>
          </w:tcPr>
          <w:p w14:paraId="2A5183DA" w14:textId="77777777" w:rsidR="00B44CFB" w:rsidRPr="00B44CFB" w:rsidRDefault="00B44CFB">
            <w:pPr>
              <w:spacing w:after="0"/>
              <w:ind w:right="-71"/>
              <w:jc w:val="right"/>
              <w:rPr>
                <w:sz w:val="16"/>
                <w:szCs w:val="16"/>
              </w:rPr>
            </w:pPr>
            <w:r w:rsidRPr="00B44CFB">
              <w:rPr>
                <w:sz w:val="16"/>
                <w:szCs w:val="16"/>
              </w:rPr>
              <w:t>0.004</w:t>
            </w:r>
          </w:p>
        </w:tc>
        <w:tc>
          <w:tcPr>
            <w:tcW w:w="445" w:type="pct"/>
            <w:hideMark/>
          </w:tcPr>
          <w:p w14:paraId="143C0F39" w14:textId="77777777" w:rsidR="00B44CFB" w:rsidRPr="00B44CFB" w:rsidRDefault="00B44CFB">
            <w:pPr>
              <w:spacing w:after="0"/>
              <w:ind w:left="-55"/>
              <w:rPr>
                <w:sz w:val="16"/>
                <w:szCs w:val="16"/>
              </w:rPr>
            </w:pPr>
            <w:r w:rsidRPr="00B44CFB">
              <w:rPr>
                <w:sz w:val="16"/>
                <w:szCs w:val="16"/>
              </w:rPr>
              <w:t>***</w:t>
            </w:r>
          </w:p>
        </w:tc>
        <w:tc>
          <w:tcPr>
            <w:tcW w:w="548" w:type="pct"/>
            <w:vAlign w:val="center"/>
            <w:hideMark/>
          </w:tcPr>
          <w:p w14:paraId="5F20CD0E" w14:textId="77777777" w:rsidR="00B44CFB" w:rsidRPr="00B44CFB" w:rsidRDefault="00B44CFB">
            <w:pPr>
              <w:spacing w:after="0"/>
              <w:ind w:left="-55"/>
              <w:jc w:val="right"/>
              <w:rPr>
                <w:color w:val="FF0000"/>
                <w:sz w:val="16"/>
                <w:szCs w:val="16"/>
              </w:rPr>
            </w:pPr>
            <w:r w:rsidRPr="00B44CFB">
              <w:rPr>
                <w:sz w:val="16"/>
                <w:szCs w:val="16"/>
              </w:rPr>
              <w:t>0.006</w:t>
            </w:r>
          </w:p>
        </w:tc>
        <w:tc>
          <w:tcPr>
            <w:tcW w:w="430" w:type="pct"/>
            <w:hideMark/>
          </w:tcPr>
          <w:p w14:paraId="086779A4" w14:textId="77777777" w:rsidR="00B44CFB" w:rsidRPr="00B44CFB" w:rsidRDefault="00B44CFB">
            <w:pPr>
              <w:spacing w:after="0"/>
              <w:ind w:left="-55"/>
              <w:rPr>
                <w:color w:val="FF0000"/>
                <w:sz w:val="16"/>
                <w:szCs w:val="16"/>
              </w:rPr>
            </w:pPr>
            <w:r w:rsidRPr="00B44CFB">
              <w:rPr>
                <w:sz w:val="16"/>
                <w:szCs w:val="16"/>
              </w:rPr>
              <w:t>***</w:t>
            </w:r>
          </w:p>
        </w:tc>
      </w:tr>
      <w:tr w:rsidR="00B44CFB" w:rsidRPr="00B44CFB" w14:paraId="0DB268B5" w14:textId="77777777" w:rsidTr="00B44CFB">
        <w:trPr>
          <w:jc w:val="center"/>
        </w:trPr>
        <w:tc>
          <w:tcPr>
            <w:tcW w:w="871" w:type="pct"/>
            <w:vAlign w:val="center"/>
            <w:hideMark/>
          </w:tcPr>
          <w:p w14:paraId="44DEF4F2" w14:textId="77777777" w:rsidR="00B44CFB" w:rsidRPr="00B44CFB" w:rsidRDefault="00B44CFB" w:rsidP="00B44CFB">
            <w:pPr>
              <w:spacing w:after="0"/>
              <w:jc w:val="left"/>
              <w:rPr>
                <w:sz w:val="16"/>
                <w:szCs w:val="16"/>
              </w:rPr>
            </w:pPr>
            <w:r w:rsidRPr="00B44CFB">
              <w:rPr>
                <w:sz w:val="16"/>
                <w:szCs w:val="16"/>
              </w:rPr>
              <w:t>LEV</w:t>
            </w:r>
          </w:p>
        </w:tc>
        <w:tc>
          <w:tcPr>
            <w:tcW w:w="421" w:type="pct"/>
            <w:vAlign w:val="center"/>
            <w:hideMark/>
          </w:tcPr>
          <w:p w14:paraId="3867D456" w14:textId="77777777" w:rsidR="00B44CFB" w:rsidRPr="00B44CFB" w:rsidRDefault="00B44CFB">
            <w:pPr>
              <w:spacing w:after="0"/>
              <w:ind w:right="-73"/>
              <w:jc w:val="center"/>
              <w:rPr>
                <w:sz w:val="16"/>
                <w:szCs w:val="16"/>
              </w:rPr>
            </w:pPr>
            <w:r w:rsidRPr="00B44CFB">
              <w:rPr>
                <w:sz w:val="16"/>
                <w:szCs w:val="16"/>
              </w:rPr>
              <w:t>+/-</w:t>
            </w:r>
          </w:p>
        </w:tc>
        <w:tc>
          <w:tcPr>
            <w:tcW w:w="535" w:type="pct"/>
            <w:hideMark/>
          </w:tcPr>
          <w:p w14:paraId="0249BAB7" w14:textId="77777777" w:rsidR="00B44CFB" w:rsidRPr="00B44CFB" w:rsidRDefault="00B44CFB">
            <w:pPr>
              <w:spacing w:after="0"/>
              <w:ind w:right="-73"/>
              <w:jc w:val="right"/>
              <w:rPr>
                <w:sz w:val="16"/>
                <w:szCs w:val="16"/>
              </w:rPr>
            </w:pPr>
            <w:r w:rsidRPr="00B44CFB">
              <w:rPr>
                <w:sz w:val="16"/>
                <w:szCs w:val="16"/>
              </w:rPr>
              <w:t>-0.045</w:t>
            </w:r>
          </w:p>
        </w:tc>
        <w:tc>
          <w:tcPr>
            <w:tcW w:w="363" w:type="pct"/>
            <w:vAlign w:val="center"/>
            <w:hideMark/>
          </w:tcPr>
          <w:p w14:paraId="618CBF4B" w14:textId="77777777" w:rsidR="00B44CFB" w:rsidRPr="00B44CFB" w:rsidRDefault="00B44CFB">
            <w:pPr>
              <w:spacing w:after="0"/>
              <w:ind w:left="-90" w:right="-73"/>
              <w:rPr>
                <w:sz w:val="16"/>
                <w:szCs w:val="16"/>
              </w:rPr>
            </w:pPr>
            <w:r w:rsidRPr="00B44CFB">
              <w:rPr>
                <w:sz w:val="16"/>
                <w:szCs w:val="16"/>
              </w:rPr>
              <w:t>***</w:t>
            </w:r>
          </w:p>
        </w:tc>
        <w:tc>
          <w:tcPr>
            <w:tcW w:w="509" w:type="pct"/>
            <w:hideMark/>
          </w:tcPr>
          <w:p w14:paraId="6F937EA8" w14:textId="77777777" w:rsidR="00B44CFB" w:rsidRPr="00B44CFB" w:rsidRDefault="00B44CFB">
            <w:pPr>
              <w:spacing w:after="0"/>
              <w:ind w:right="-73"/>
              <w:jc w:val="right"/>
              <w:rPr>
                <w:color w:val="FF0000"/>
                <w:sz w:val="16"/>
                <w:szCs w:val="16"/>
              </w:rPr>
            </w:pPr>
            <w:r w:rsidRPr="00B44CFB">
              <w:rPr>
                <w:sz w:val="16"/>
                <w:szCs w:val="16"/>
              </w:rPr>
              <w:t>-0.044</w:t>
            </w:r>
          </w:p>
        </w:tc>
        <w:tc>
          <w:tcPr>
            <w:tcW w:w="344" w:type="pct"/>
            <w:vAlign w:val="center"/>
            <w:hideMark/>
          </w:tcPr>
          <w:p w14:paraId="086EDEC8" w14:textId="77777777" w:rsidR="00B44CFB" w:rsidRPr="00B44CFB" w:rsidRDefault="00B44CFB">
            <w:pPr>
              <w:spacing w:after="0"/>
              <w:ind w:left="-143"/>
              <w:rPr>
                <w:color w:val="FF0000"/>
                <w:sz w:val="16"/>
                <w:szCs w:val="16"/>
              </w:rPr>
            </w:pPr>
            <w:r w:rsidRPr="00B44CFB">
              <w:rPr>
                <w:sz w:val="16"/>
                <w:szCs w:val="16"/>
              </w:rPr>
              <w:t>***</w:t>
            </w:r>
          </w:p>
        </w:tc>
        <w:tc>
          <w:tcPr>
            <w:tcW w:w="533" w:type="pct"/>
            <w:vAlign w:val="center"/>
            <w:hideMark/>
          </w:tcPr>
          <w:p w14:paraId="206559ED" w14:textId="77777777" w:rsidR="00B44CFB" w:rsidRPr="00B44CFB" w:rsidRDefault="00B44CFB">
            <w:pPr>
              <w:spacing w:after="0"/>
              <w:ind w:right="-71"/>
              <w:jc w:val="right"/>
              <w:rPr>
                <w:sz w:val="16"/>
                <w:szCs w:val="16"/>
              </w:rPr>
            </w:pPr>
            <w:r w:rsidRPr="00B44CFB">
              <w:rPr>
                <w:sz w:val="16"/>
                <w:szCs w:val="16"/>
              </w:rPr>
              <w:t>-0.017</w:t>
            </w:r>
          </w:p>
        </w:tc>
        <w:tc>
          <w:tcPr>
            <w:tcW w:w="445" w:type="pct"/>
            <w:hideMark/>
          </w:tcPr>
          <w:p w14:paraId="6B37A692" w14:textId="77777777" w:rsidR="00B44CFB" w:rsidRPr="00B44CFB" w:rsidRDefault="00B44CFB">
            <w:pPr>
              <w:spacing w:after="0"/>
              <w:ind w:left="-55"/>
              <w:rPr>
                <w:sz w:val="16"/>
                <w:szCs w:val="16"/>
              </w:rPr>
            </w:pPr>
            <w:r w:rsidRPr="00B44CFB">
              <w:rPr>
                <w:sz w:val="16"/>
                <w:szCs w:val="16"/>
              </w:rPr>
              <w:t>**</w:t>
            </w:r>
          </w:p>
        </w:tc>
        <w:tc>
          <w:tcPr>
            <w:tcW w:w="548" w:type="pct"/>
            <w:vAlign w:val="center"/>
            <w:hideMark/>
          </w:tcPr>
          <w:p w14:paraId="50FE2833" w14:textId="77777777" w:rsidR="00B44CFB" w:rsidRPr="00B44CFB" w:rsidRDefault="00B44CFB">
            <w:pPr>
              <w:spacing w:after="0"/>
              <w:ind w:left="-55"/>
              <w:jc w:val="right"/>
              <w:rPr>
                <w:color w:val="FF0000"/>
                <w:sz w:val="16"/>
                <w:szCs w:val="16"/>
              </w:rPr>
            </w:pPr>
            <w:r w:rsidRPr="00B44CFB">
              <w:rPr>
                <w:sz w:val="16"/>
                <w:szCs w:val="16"/>
              </w:rPr>
              <w:t>-0.013</w:t>
            </w:r>
          </w:p>
        </w:tc>
        <w:tc>
          <w:tcPr>
            <w:tcW w:w="430" w:type="pct"/>
            <w:hideMark/>
          </w:tcPr>
          <w:p w14:paraId="4158FB6D" w14:textId="77777777" w:rsidR="00B44CFB" w:rsidRPr="00B44CFB" w:rsidRDefault="00B44CFB">
            <w:pPr>
              <w:spacing w:after="0"/>
              <w:ind w:left="-55"/>
              <w:rPr>
                <w:color w:val="FF0000"/>
                <w:sz w:val="16"/>
                <w:szCs w:val="16"/>
              </w:rPr>
            </w:pPr>
            <w:r w:rsidRPr="00B44CFB">
              <w:rPr>
                <w:sz w:val="16"/>
                <w:szCs w:val="16"/>
              </w:rPr>
              <w:t>*</w:t>
            </w:r>
          </w:p>
        </w:tc>
      </w:tr>
      <w:tr w:rsidR="00B44CFB" w:rsidRPr="00B44CFB" w14:paraId="58E0494B" w14:textId="77777777" w:rsidTr="00B44CFB">
        <w:trPr>
          <w:jc w:val="center"/>
        </w:trPr>
        <w:tc>
          <w:tcPr>
            <w:tcW w:w="871" w:type="pct"/>
            <w:vAlign w:val="center"/>
            <w:hideMark/>
          </w:tcPr>
          <w:p w14:paraId="10678EA5" w14:textId="77777777" w:rsidR="00B44CFB" w:rsidRPr="00B44CFB" w:rsidRDefault="00B44CFB" w:rsidP="00B44CFB">
            <w:pPr>
              <w:spacing w:after="0"/>
              <w:jc w:val="left"/>
              <w:rPr>
                <w:sz w:val="16"/>
                <w:szCs w:val="16"/>
              </w:rPr>
            </w:pPr>
            <w:r w:rsidRPr="00B44CFB">
              <w:rPr>
                <w:sz w:val="16"/>
                <w:szCs w:val="16"/>
              </w:rPr>
              <w:t>IND</w:t>
            </w:r>
          </w:p>
        </w:tc>
        <w:tc>
          <w:tcPr>
            <w:tcW w:w="421" w:type="pct"/>
            <w:vAlign w:val="center"/>
            <w:hideMark/>
          </w:tcPr>
          <w:p w14:paraId="6FD80DD4" w14:textId="77777777" w:rsidR="00B44CFB" w:rsidRPr="00B44CFB" w:rsidRDefault="00B44CFB">
            <w:pPr>
              <w:spacing w:after="0"/>
              <w:ind w:right="-73"/>
              <w:jc w:val="center"/>
              <w:rPr>
                <w:sz w:val="16"/>
                <w:szCs w:val="16"/>
              </w:rPr>
            </w:pPr>
            <w:r w:rsidRPr="00B44CFB">
              <w:rPr>
                <w:sz w:val="16"/>
                <w:szCs w:val="16"/>
              </w:rPr>
              <w:t>+/-</w:t>
            </w:r>
          </w:p>
        </w:tc>
        <w:tc>
          <w:tcPr>
            <w:tcW w:w="535" w:type="pct"/>
            <w:hideMark/>
          </w:tcPr>
          <w:p w14:paraId="4E977F91" w14:textId="77777777" w:rsidR="00B44CFB" w:rsidRPr="00B44CFB" w:rsidRDefault="00B44CFB">
            <w:pPr>
              <w:spacing w:after="0"/>
              <w:ind w:right="-73"/>
              <w:jc w:val="right"/>
              <w:rPr>
                <w:sz w:val="16"/>
                <w:szCs w:val="16"/>
              </w:rPr>
            </w:pPr>
            <w:r w:rsidRPr="00B44CFB">
              <w:rPr>
                <w:sz w:val="16"/>
                <w:szCs w:val="16"/>
              </w:rPr>
              <w:t>-0.024</w:t>
            </w:r>
          </w:p>
        </w:tc>
        <w:tc>
          <w:tcPr>
            <w:tcW w:w="363" w:type="pct"/>
            <w:vAlign w:val="center"/>
            <w:hideMark/>
          </w:tcPr>
          <w:p w14:paraId="2505B9C4" w14:textId="77777777" w:rsidR="00B44CFB" w:rsidRPr="00B44CFB" w:rsidRDefault="00B44CFB">
            <w:pPr>
              <w:spacing w:after="0"/>
              <w:ind w:left="-90" w:right="-73"/>
              <w:rPr>
                <w:sz w:val="16"/>
                <w:szCs w:val="16"/>
              </w:rPr>
            </w:pPr>
            <w:r w:rsidRPr="00B44CFB">
              <w:rPr>
                <w:sz w:val="16"/>
                <w:szCs w:val="16"/>
              </w:rPr>
              <w:t>***</w:t>
            </w:r>
          </w:p>
        </w:tc>
        <w:tc>
          <w:tcPr>
            <w:tcW w:w="509" w:type="pct"/>
            <w:hideMark/>
          </w:tcPr>
          <w:p w14:paraId="67B450BE" w14:textId="77777777" w:rsidR="00B44CFB" w:rsidRPr="00B44CFB" w:rsidRDefault="00B44CFB">
            <w:pPr>
              <w:spacing w:after="0"/>
              <w:ind w:right="-73"/>
              <w:jc w:val="right"/>
              <w:rPr>
                <w:color w:val="FF0000"/>
                <w:sz w:val="16"/>
                <w:szCs w:val="16"/>
              </w:rPr>
            </w:pPr>
            <w:r w:rsidRPr="00B44CFB">
              <w:rPr>
                <w:sz w:val="16"/>
                <w:szCs w:val="16"/>
              </w:rPr>
              <w:t>-0.024</w:t>
            </w:r>
          </w:p>
        </w:tc>
        <w:tc>
          <w:tcPr>
            <w:tcW w:w="344" w:type="pct"/>
            <w:vAlign w:val="center"/>
            <w:hideMark/>
          </w:tcPr>
          <w:p w14:paraId="0B8A803D" w14:textId="77777777" w:rsidR="00B44CFB" w:rsidRPr="00B44CFB" w:rsidRDefault="00B44CFB">
            <w:pPr>
              <w:spacing w:after="0"/>
              <w:ind w:left="-143"/>
              <w:rPr>
                <w:color w:val="FF0000"/>
                <w:sz w:val="16"/>
                <w:szCs w:val="16"/>
              </w:rPr>
            </w:pPr>
            <w:r w:rsidRPr="00B44CFB">
              <w:rPr>
                <w:sz w:val="16"/>
                <w:szCs w:val="16"/>
              </w:rPr>
              <w:t>***</w:t>
            </w:r>
          </w:p>
        </w:tc>
        <w:tc>
          <w:tcPr>
            <w:tcW w:w="533" w:type="pct"/>
            <w:vAlign w:val="center"/>
            <w:hideMark/>
          </w:tcPr>
          <w:p w14:paraId="5B665743" w14:textId="77777777" w:rsidR="00B44CFB" w:rsidRPr="00B44CFB" w:rsidRDefault="00B44CFB">
            <w:pPr>
              <w:spacing w:after="0"/>
              <w:ind w:right="-71"/>
              <w:jc w:val="right"/>
              <w:rPr>
                <w:sz w:val="16"/>
                <w:szCs w:val="16"/>
              </w:rPr>
            </w:pPr>
            <w:r w:rsidRPr="00B44CFB">
              <w:rPr>
                <w:sz w:val="16"/>
                <w:szCs w:val="16"/>
              </w:rPr>
              <w:t>0.026</w:t>
            </w:r>
          </w:p>
        </w:tc>
        <w:tc>
          <w:tcPr>
            <w:tcW w:w="445" w:type="pct"/>
            <w:hideMark/>
          </w:tcPr>
          <w:p w14:paraId="002E7A8A" w14:textId="77777777" w:rsidR="00B44CFB" w:rsidRPr="00B44CFB" w:rsidRDefault="00B44CFB">
            <w:pPr>
              <w:spacing w:after="0"/>
              <w:ind w:left="-55"/>
              <w:rPr>
                <w:sz w:val="16"/>
                <w:szCs w:val="16"/>
              </w:rPr>
            </w:pPr>
            <w:r w:rsidRPr="00B44CFB">
              <w:rPr>
                <w:sz w:val="16"/>
                <w:szCs w:val="16"/>
              </w:rPr>
              <w:t>***</w:t>
            </w:r>
          </w:p>
        </w:tc>
        <w:tc>
          <w:tcPr>
            <w:tcW w:w="548" w:type="pct"/>
            <w:vAlign w:val="center"/>
            <w:hideMark/>
          </w:tcPr>
          <w:p w14:paraId="121FA167" w14:textId="77777777" w:rsidR="00B44CFB" w:rsidRPr="00B44CFB" w:rsidRDefault="00B44CFB">
            <w:pPr>
              <w:spacing w:after="0"/>
              <w:ind w:left="-55"/>
              <w:jc w:val="right"/>
              <w:rPr>
                <w:color w:val="FF0000"/>
                <w:sz w:val="16"/>
                <w:szCs w:val="16"/>
              </w:rPr>
            </w:pPr>
            <w:r w:rsidRPr="00B44CFB">
              <w:rPr>
                <w:sz w:val="16"/>
                <w:szCs w:val="16"/>
              </w:rPr>
              <w:t>0.025</w:t>
            </w:r>
          </w:p>
        </w:tc>
        <w:tc>
          <w:tcPr>
            <w:tcW w:w="430" w:type="pct"/>
            <w:hideMark/>
          </w:tcPr>
          <w:p w14:paraId="627FB8C5" w14:textId="77777777" w:rsidR="00B44CFB" w:rsidRPr="00B44CFB" w:rsidRDefault="00B44CFB">
            <w:pPr>
              <w:spacing w:after="0"/>
              <w:ind w:left="-55"/>
              <w:rPr>
                <w:color w:val="FF0000"/>
                <w:sz w:val="16"/>
                <w:szCs w:val="16"/>
              </w:rPr>
            </w:pPr>
            <w:r w:rsidRPr="00B44CFB">
              <w:rPr>
                <w:sz w:val="16"/>
                <w:szCs w:val="16"/>
              </w:rPr>
              <w:t>***</w:t>
            </w:r>
          </w:p>
        </w:tc>
      </w:tr>
      <w:tr w:rsidR="00B44CFB" w:rsidRPr="00B44CFB" w14:paraId="228F9406" w14:textId="77777777" w:rsidTr="00B44CFB">
        <w:trPr>
          <w:jc w:val="center"/>
        </w:trPr>
        <w:tc>
          <w:tcPr>
            <w:tcW w:w="871" w:type="pct"/>
            <w:vAlign w:val="center"/>
            <w:hideMark/>
          </w:tcPr>
          <w:p w14:paraId="2F68AB99" w14:textId="77777777" w:rsidR="00B44CFB" w:rsidRPr="00B44CFB" w:rsidRDefault="00B44CFB" w:rsidP="00B44CFB">
            <w:pPr>
              <w:spacing w:after="0"/>
              <w:jc w:val="left"/>
              <w:rPr>
                <w:sz w:val="16"/>
                <w:szCs w:val="16"/>
              </w:rPr>
            </w:pPr>
            <w:proofErr w:type="spellStart"/>
            <w:r w:rsidRPr="00B44CFB">
              <w:rPr>
                <w:sz w:val="16"/>
                <w:szCs w:val="16"/>
              </w:rPr>
              <w:t>lnGDPG</w:t>
            </w:r>
            <w:proofErr w:type="spellEnd"/>
          </w:p>
        </w:tc>
        <w:tc>
          <w:tcPr>
            <w:tcW w:w="421" w:type="pct"/>
            <w:vAlign w:val="center"/>
            <w:hideMark/>
          </w:tcPr>
          <w:p w14:paraId="5D8BCEE4" w14:textId="77777777" w:rsidR="00B44CFB" w:rsidRPr="00B44CFB" w:rsidRDefault="00B44CFB">
            <w:pPr>
              <w:spacing w:after="0"/>
              <w:ind w:right="-73"/>
              <w:jc w:val="center"/>
              <w:rPr>
                <w:sz w:val="16"/>
                <w:szCs w:val="16"/>
              </w:rPr>
            </w:pPr>
            <w:r w:rsidRPr="00B44CFB">
              <w:rPr>
                <w:sz w:val="16"/>
                <w:szCs w:val="16"/>
              </w:rPr>
              <w:t>+/-</w:t>
            </w:r>
          </w:p>
        </w:tc>
        <w:tc>
          <w:tcPr>
            <w:tcW w:w="535" w:type="pct"/>
            <w:hideMark/>
          </w:tcPr>
          <w:p w14:paraId="578CF783" w14:textId="77777777" w:rsidR="00B44CFB" w:rsidRPr="00B44CFB" w:rsidRDefault="00B44CFB">
            <w:pPr>
              <w:spacing w:after="0"/>
              <w:ind w:right="-73"/>
              <w:jc w:val="right"/>
              <w:rPr>
                <w:sz w:val="16"/>
                <w:szCs w:val="16"/>
              </w:rPr>
            </w:pPr>
            <w:r w:rsidRPr="00B44CFB">
              <w:rPr>
                <w:sz w:val="16"/>
                <w:szCs w:val="16"/>
              </w:rPr>
              <w:t>-0.016</w:t>
            </w:r>
          </w:p>
        </w:tc>
        <w:tc>
          <w:tcPr>
            <w:tcW w:w="363" w:type="pct"/>
            <w:vAlign w:val="center"/>
            <w:hideMark/>
          </w:tcPr>
          <w:p w14:paraId="56005200" w14:textId="77777777" w:rsidR="00B44CFB" w:rsidRPr="00B44CFB" w:rsidRDefault="00B44CFB">
            <w:pPr>
              <w:spacing w:after="0"/>
              <w:ind w:left="-90" w:right="-73"/>
              <w:rPr>
                <w:sz w:val="16"/>
                <w:szCs w:val="16"/>
              </w:rPr>
            </w:pPr>
            <w:r w:rsidRPr="00B44CFB">
              <w:rPr>
                <w:sz w:val="16"/>
                <w:szCs w:val="16"/>
              </w:rPr>
              <w:t>***</w:t>
            </w:r>
          </w:p>
        </w:tc>
        <w:tc>
          <w:tcPr>
            <w:tcW w:w="509" w:type="pct"/>
            <w:hideMark/>
          </w:tcPr>
          <w:p w14:paraId="6556BC0A" w14:textId="77777777" w:rsidR="00B44CFB" w:rsidRPr="00B44CFB" w:rsidRDefault="00B44CFB">
            <w:pPr>
              <w:spacing w:after="0"/>
              <w:ind w:right="-73"/>
              <w:jc w:val="right"/>
              <w:rPr>
                <w:color w:val="FF0000"/>
                <w:sz w:val="16"/>
                <w:szCs w:val="16"/>
              </w:rPr>
            </w:pPr>
            <w:r w:rsidRPr="00B44CFB">
              <w:rPr>
                <w:sz w:val="16"/>
                <w:szCs w:val="16"/>
              </w:rPr>
              <w:t>-0.015</w:t>
            </w:r>
          </w:p>
        </w:tc>
        <w:tc>
          <w:tcPr>
            <w:tcW w:w="344" w:type="pct"/>
            <w:vAlign w:val="center"/>
            <w:hideMark/>
          </w:tcPr>
          <w:p w14:paraId="4B78B701" w14:textId="77777777" w:rsidR="00B44CFB" w:rsidRPr="00B44CFB" w:rsidRDefault="00B44CFB">
            <w:pPr>
              <w:spacing w:after="0"/>
              <w:ind w:left="-143"/>
              <w:rPr>
                <w:color w:val="FF0000"/>
                <w:sz w:val="16"/>
                <w:szCs w:val="16"/>
              </w:rPr>
            </w:pPr>
            <w:r w:rsidRPr="00B44CFB">
              <w:rPr>
                <w:sz w:val="16"/>
                <w:szCs w:val="16"/>
              </w:rPr>
              <w:t>***</w:t>
            </w:r>
          </w:p>
        </w:tc>
        <w:tc>
          <w:tcPr>
            <w:tcW w:w="533" w:type="pct"/>
            <w:vAlign w:val="center"/>
            <w:hideMark/>
          </w:tcPr>
          <w:p w14:paraId="7111865D" w14:textId="77777777" w:rsidR="00B44CFB" w:rsidRPr="00B44CFB" w:rsidRDefault="00B44CFB">
            <w:pPr>
              <w:spacing w:after="0"/>
              <w:ind w:right="-71"/>
              <w:jc w:val="right"/>
              <w:rPr>
                <w:sz w:val="16"/>
                <w:szCs w:val="16"/>
              </w:rPr>
            </w:pPr>
            <w:r w:rsidRPr="00B44CFB">
              <w:rPr>
                <w:sz w:val="16"/>
                <w:szCs w:val="16"/>
              </w:rPr>
              <w:t>-0.015</w:t>
            </w:r>
          </w:p>
        </w:tc>
        <w:tc>
          <w:tcPr>
            <w:tcW w:w="445" w:type="pct"/>
            <w:hideMark/>
          </w:tcPr>
          <w:p w14:paraId="485C984B" w14:textId="77777777" w:rsidR="00B44CFB" w:rsidRPr="00B44CFB" w:rsidRDefault="00B44CFB">
            <w:pPr>
              <w:spacing w:after="0"/>
              <w:ind w:left="-55"/>
              <w:rPr>
                <w:sz w:val="16"/>
                <w:szCs w:val="16"/>
              </w:rPr>
            </w:pPr>
            <w:r w:rsidRPr="00B44CFB">
              <w:rPr>
                <w:sz w:val="16"/>
                <w:szCs w:val="16"/>
              </w:rPr>
              <w:t>**</w:t>
            </w:r>
          </w:p>
        </w:tc>
        <w:tc>
          <w:tcPr>
            <w:tcW w:w="548" w:type="pct"/>
            <w:vAlign w:val="center"/>
            <w:hideMark/>
          </w:tcPr>
          <w:p w14:paraId="234B4E7D" w14:textId="77777777" w:rsidR="00B44CFB" w:rsidRPr="00B44CFB" w:rsidRDefault="00B44CFB">
            <w:pPr>
              <w:spacing w:after="0"/>
              <w:ind w:left="-55"/>
              <w:jc w:val="right"/>
              <w:rPr>
                <w:color w:val="FF0000"/>
                <w:sz w:val="16"/>
                <w:szCs w:val="16"/>
              </w:rPr>
            </w:pPr>
            <w:r w:rsidRPr="00B44CFB">
              <w:rPr>
                <w:sz w:val="16"/>
                <w:szCs w:val="16"/>
              </w:rPr>
              <w:t>-0.016</w:t>
            </w:r>
          </w:p>
        </w:tc>
        <w:tc>
          <w:tcPr>
            <w:tcW w:w="430" w:type="pct"/>
            <w:hideMark/>
          </w:tcPr>
          <w:p w14:paraId="1B0ED1B4" w14:textId="77777777" w:rsidR="00B44CFB" w:rsidRPr="00B44CFB" w:rsidRDefault="00B44CFB">
            <w:pPr>
              <w:spacing w:after="0"/>
              <w:ind w:left="-55"/>
              <w:rPr>
                <w:color w:val="FF0000"/>
                <w:sz w:val="16"/>
                <w:szCs w:val="16"/>
              </w:rPr>
            </w:pPr>
            <w:r w:rsidRPr="00B44CFB">
              <w:rPr>
                <w:sz w:val="16"/>
                <w:szCs w:val="16"/>
              </w:rPr>
              <w:t>***</w:t>
            </w:r>
          </w:p>
        </w:tc>
      </w:tr>
      <w:tr w:rsidR="00B44CFB" w:rsidRPr="00B44CFB" w14:paraId="5CE4391A" w14:textId="77777777" w:rsidTr="00B44CFB">
        <w:trPr>
          <w:jc w:val="center"/>
        </w:trPr>
        <w:tc>
          <w:tcPr>
            <w:tcW w:w="871" w:type="pct"/>
            <w:vAlign w:val="center"/>
            <w:hideMark/>
          </w:tcPr>
          <w:p w14:paraId="792E7568" w14:textId="77777777" w:rsidR="00B44CFB" w:rsidRPr="00B44CFB" w:rsidRDefault="00B44CFB" w:rsidP="00B44CFB">
            <w:pPr>
              <w:spacing w:after="0"/>
              <w:jc w:val="left"/>
              <w:rPr>
                <w:sz w:val="16"/>
                <w:szCs w:val="16"/>
              </w:rPr>
            </w:pPr>
            <w:r w:rsidRPr="00B44CFB">
              <w:rPr>
                <w:sz w:val="16"/>
                <w:szCs w:val="16"/>
              </w:rPr>
              <w:t>Adj R-squared</w:t>
            </w:r>
          </w:p>
          <w:p w14:paraId="065AFEB6" w14:textId="77777777" w:rsidR="00B44CFB" w:rsidRPr="00B44CFB" w:rsidRDefault="00B44CFB" w:rsidP="00B44CFB">
            <w:pPr>
              <w:spacing w:after="0"/>
              <w:jc w:val="left"/>
              <w:rPr>
                <w:sz w:val="16"/>
                <w:szCs w:val="16"/>
              </w:rPr>
            </w:pPr>
            <w:r w:rsidRPr="00B44CFB">
              <w:rPr>
                <w:sz w:val="16"/>
                <w:szCs w:val="16"/>
              </w:rPr>
              <w:t>F-statistics (p value)</w:t>
            </w:r>
          </w:p>
          <w:p w14:paraId="6BEA3D31" w14:textId="3A520998" w:rsidR="00B44CFB" w:rsidRPr="00B44CFB" w:rsidRDefault="00B44CFB" w:rsidP="00B44CFB">
            <w:pPr>
              <w:spacing w:after="0"/>
              <w:jc w:val="left"/>
              <w:rPr>
                <w:sz w:val="16"/>
                <w:szCs w:val="16"/>
              </w:rPr>
            </w:pPr>
            <w:r w:rsidRPr="00B44CFB">
              <w:rPr>
                <w:sz w:val="16"/>
                <w:szCs w:val="16"/>
              </w:rPr>
              <w:t>Obs.</w:t>
            </w:r>
          </w:p>
        </w:tc>
        <w:tc>
          <w:tcPr>
            <w:tcW w:w="421" w:type="pct"/>
          </w:tcPr>
          <w:p w14:paraId="143A8008" w14:textId="77777777" w:rsidR="00B44CFB" w:rsidRPr="00B44CFB" w:rsidRDefault="00B44CFB">
            <w:pPr>
              <w:spacing w:after="0"/>
              <w:ind w:right="-56"/>
              <w:jc w:val="right"/>
              <w:rPr>
                <w:sz w:val="16"/>
                <w:szCs w:val="16"/>
              </w:rPr>
            </w:pPr>
          </w:p>
        </w:tc>
        <w:tc>
          <w:tcPr>
            <w:tcW w:w="535" w:type="pct"/>
            <w:vAlign w:val="center"/>
            <w:hideMark/>
          </w:tcPr>
          <w:p w14:paraId="234E76DE" w14:textId="77777777" w:rsidR="00B44CFB" w:rsidRPr="00B44CFB" w:rsidRDefault="00B44CFB">
            <w:pPr>
              <w:spacing w:after="0"/>
              <w:ind w:right="-56"/>
              <w:jc w:val="right"/>
              <w:rPr>
                <w:sz w:val="16"/>
                <w:szCs w:val="16"/>
              </w:rPr>
            </w:pPr>
            <w:r w:rsidRPr="00B44CFB">
              <w:rPr>
                <w:sz w:val="16"/>
                <w:szCs w:val="16"/>
              </w:rPr>
              <w:t>0.673</w:t>
            </w:r>
          </w:p>
          <w:p w14:paraId="1432F2D3" w14:textId="77777777" w:rsidR="00B44CFB" w:rsidRPr="00B44CFB" w:rsidRDefault="00B44CFB">
            <w:pPr>
              <w:spacing w:after="0"/>
              <w:ind w:right="-56"/>
              <w:jc w:val="right"/>
              <w:rPr>
                <w:sz w:val="16"/>
                <w:szCs w:val="16"/>
              </w:rPr>
            </w:pPr>
            <w:r w:rsidRPr="00B44CFB">
              <w:rPr>
                <w:sz w:val="16"/>
                <w:szCs w:val="16"/>
              </w:rPr>
              <w:t>0.000</w:t>
            </w:r>
          </w:p>
          <w:p w14:paraId="019A49C5" w14:textId="77777777" w:rsidR="00B44CFB" w:rsidRPr="00B44CFB" w:rsidRDefault="00B44CFB">
            <w:pPr>
              <w:spacing w:after="0"/>
              <w:ind w:right="-56"/>
              <w:jc w:val="right"/>
              <w:rPr>
                <w:sz w:val="16"/>
                <w:szCs w:val="16"/>
              </w:rPr>
            </w:pPr>
            <w:r w:rsidRPr="00B44CFB">
              <w:rPr>
                <w:sz w:val="16"/>
                <w:szCs w:val="16"/>
              </w:rPr>
              <w:t>243</w:t>
            </w:r>
          </w:p>
        </w:tc>
        <w:tc>
          <w:tcPr>
            <w:tcW w:w="363" w:type="pct"/>
            <w:vAlign w:val="center"/>
          </w:tcPr>
          <w:p w14:paraId="170CB820" w14:textId="77777777" w:rsidR="00B44CFB" w:rsidRPr="00B44CFB" w:rsidRDefault="00B44CFB">
            <w:pPr>
              <w:spacing w:after="0"/>
              <w:ind w:right="-56"/>
              <w:jc w:val="right"/>
              <w:rPr>
                <w:sz w:val="16"/>
                <w:szCs w:val="16"/>
              </w:rPr>
            </w:pPr>
          </w:p>
        </w:tc>
        <w:tc>
          <w:tcPr>
            <w:tcW w:w="509" w:type="pct"/>
            <w:vAlign w:val="center"/>
            <w:hideMark/>
          </w:tcPr>
          <w:p w14:paraId="5E0067E2" w14:textId="77777777" w:rsidR="00B44CFB" w:rsidRPr="00B44CFB" w:rsidRDefault="00B44CFB">
            <w:pPr>
              <w:spacing w:after="0"/>
              <w:ind w:right="-56"/>
              <w:jc w:val="right"/>
              <w:rPr>
                <w:sz w:val="16"/>
                <w:szCs w:val="16"/>
              </w:rPr>
            </w:pPr>
            <w:r w:rsidRPr="00B44CFB">
              <w:rPr>
                <w:sz w:val="16"/>
                <w:szCs w:val="16"/>
              </w:rPr>
              <w:t>0.662</w:t>
            </w:r>
          </w:p>
          <w:p w14:paraId="509E40A6" w14:textId="77777777" w:rsidR="00B44CFB" w:rsidRPr="00B44CFB" w:rsidRDefault="00B44CFB">
            <w:pPr>
              <w:spacing w:after="0"/>
              <w:ind w:right="-56"/>
              <w:jc w:val="right"/>
              <w:rPr>
                <w:sz w:val="16"/>
                <w:szCs w:val="16"/>
              </w:rPr>
            </w:pPr>
            <w:r w:rsidRPr="00B44CFB">
              <w:rPr>
                <w:sz w:val="16"/>
                <w:szCs w:val="16"/>
              </w:rPr>
              <w:t>0.000</w:t>
            </w:r>
          </w:p>
          <w:p w14:paraId="622305E8" w14:textId="77777777" w:rsidR="00B44CFB" w:rsidRPr="00B44CFB" w:rsidRDefault="00B44CFB">
            <w:pPr>
              <w:spacing w:after="0"/>
              <w:ind w:right="-56"/>
              <w:jc w:val="right"/>
              <w:rPr>
                <w:sz w:val="16"/>
                <w:szCs w:val="16"/>
              </w:rPr>
            </w:pPr>
            <w:r w:rsidRPr="00B44CFB">
              <w:rPr>
                <w:sz w:val="16"/>
                <w:szCs w:val="16"/>
              </w:rPr>
              <w:t>243</w:t>
            </w:r>
          </w:p>
        </w:tc>
        <w:tc>
          <w:tcPr>
            <w:tcW w:w="344" w:type="pct"/>
            <w:vAlign w:val="center"/>
          </w:tcPr>
          <w:p w14:paraId="74A67ACE" w14:textId="77777777" w:rsidR="00B44CFB" w:rsidRPr="00B44CFB" w:rsidRDefault="00B44CFB">
            <w:pPr>
              <w:spacing w:after="0"/>
              <w:ind w:left="-143"/>
              <w:jc w:val="right"/>
              <w:rPr>
                <w:sz w:val="16"/>
                <w:szCs w:val="16"/>
              </w:rPr>
            </w:pPr>
          </w:p>
        </w:tc>
        <w:tc>
          <w:tcPr>
            <w:tcW w:w="533" w:type="pct"/>
            <w:vAlign w:val="center"/>
            <w:hideMark/>
          </w:tcPr>
          <w:p w14:paraId="31C235C3" w14:textId="77777777" w:rsidR="00B44CFB" w:rsidRPr="00B44CFB" w:rsidRDefault="00B44CFB">
            <w:pPr>
              <w:spacing w:after="0"/>
              <w:ind w:right="-56"/>
              <w:jc w:val="right"/>
              <w:rPr>
                <w:sz w:val="16"/>
                <w:szCs w:val="16"/>
              </w:rPr>
            </w:pPr>
            <w:r w:rsidRPr="00B44CFB">
              <w:rPr>
                <w:sz w:val="16"/>
                <w:szCs w:val="16"/>
              </w:rPr>
              <w:t>0.307</w:t>
            </w:r>
          </w:p>
          <w:p w14:paraId="02953650" w14:textId="77777777" w:rsidR="00B44CFB" w:rsidRPr="00B44CFB" w:rsidRDefault="00B44CFB">
            <w:pPr>
              <w:spacing w:after="0"/>
              <w:ind w:right="-56"/>
              <w:jc w:val="right"/>
              <w:rPr>
                <w:sz w:val="16"/>
                <w:szCs w:val="16"/>
              </w:rPr>
            </w:pPr>
            <w:r w:rsidRPr="00B44CFB">
              <w:rPr>
                <w:sz w:val="16"/>
                <w:szCs w:val="16"/>
              </w:rPr>
              <w:t>0.000</w:t>
            </w:r>
          </w:p>
          <w:p w14:paraId="31513E94" w14:textId="77777777" w:rsidR="00B44CFB" w:rsidRPr="00B44CFB" w:rsidRDefault="00B44CFB">
            <w:pPr>
              <w:spacing w:after="0"/>
              <w:ind w:right="-43"/>
              <w:jc w:val="right"/>
              <w:rPr>
                <w:sz w:val="16"/>
                <w:szCs w:val="16"/>
              </w:rPr>
            </w:pPr>
            <w:r w:rsidRPr="00B44CFB">
              <w:rPr>
                <w:sz w:val="16"/>
                <w:szCs w:val="16"/>
              </w:rPr>
              <w:t>243</w:t>
            </w:r>
          </w:p>
        </w:tc>
        <w:tc>
          <w:tcPr>
            <w:tcW w:w="445" w:type="pct"/>
            <w:vAlign w:val="center"/>
          </w:tcPr>
          <w:p w14:paraId="14DA915B" w14:textId="77777777" w:rsidR="00B44CFB" w:rsidRPr="00B44CFB" w:rsidRDefault="00B44CFB">
            <w:pPr>
              <w:spacing w:after="0"/>
              <w:ind w:left="-55"/>
              <w:jc w:val="right"/>
              <w:rPr>
                <w:sz w:val="16"/>
                <w:szCs w:val="16"/>
              </w:rPr>
            </w:pPr>
          </w:p>
        </w:tc>
        <w:tc>
          <w:tcPr>
            <w:tcW w:w="548" w:type="pct"/>
            <w:vAlign w:val="center"/>
            <w:hideMark/>
          </w:tcPr>
          <w:p w14:paraId="20071585" w14:textId="77777777" w:rsidR="00B44CFB" w:rsidRPr="00B44CFB" w:rsidRDefault="00B44CFB">
            <w:pPr>
              <w:spacing w:after="0"/>
              <w:ind w:right="-56"/>
              <w:jc w:val="right"/>
              <w:rPr>
                <w:sz w:val="16"/>
                <w:szCs w:val="16"/>
              </w:rPr>
            </w:pPr>
            <w:r w:rsidRPr="00B44CFB">
              <w:rPr>
                <w:sz w:val="16"/>
                <w:szCs w:val="16"/>
              </w:rPr>
              <w:t>0.581</w:t>
            </w:r>
          </w:p>
          <w:p w14:paraId="4AD15167" w14:textId="77777777" w:rsidR="00B44CFB" w:rsidRPr="00B44CFB" w:rsidRDefault="00B44CFB">
            <w:pPr>
              <w:spacing w:after="0"/>
              <w:ind w:right="-56"/>
              <w:jc w:val="right"/>
              <w:rPr>
                <w:sz w:val="16"/>
                <w:szCs w:val="16"/>
              </w:rPr>
            </w:pPr>
            <w:r w:rsidRPr="00B44CFB">
              <w:rPr>
                <w:sz w:val="16"/>
                <w:szCs w:val="16"/>
              </w:rPr>
              <w:t>0.000</w:t>
            </w:r>
          </w:p>
          <w:p w14:paraId="5B2CBE33" w14:textId="77777777" w:rsidR="00B44CFB" w:rsidRPr="00B44CFB" w:rsidRDefault="00B44CFB">
            <w:pPr>
              <w:spacing w:after="0"/>
              <w:ind w:left="-55"/>
              <w:jc w:val="right"/>
              <w:rPr>
                <w:sz w:val="16"/>
                <w:szCs w:val="16"/>
              </w:rPr>
            </w:pPr>
            <w:r w:rsidRPr="00B44CFB">
              <w:rPr>
                <w:sz w:val="16"/>
                <w:szCs w:val="16"/>
              </w:rPr>
              <w:t>243</w:t>
            </w:r>
          </w:p>
        </w:tc>
        <w:tc>
          <w:tcPr>
            <w:tcW w:w="430" w:type="pct"/>
          </w:tcPr>
          <w:p w14:paraId="5E8985F0" w14:textId="77777777" w:rsidR="00B44CFB" w:rsidRPr="00B44CFB" w:rsidRDefault="00B44CFB">
            <w:pPr>
              <w:spacing w:after="0"/>
              <w:ind w:left="-55"/>
              <w:rPr>
                <w:sz w:val="16"/>
                <w:szCs w:val="16"/>
              </w:rPr>
            </w:pPr>
          </w:p>
        </w:tc>
      </w:tr>
    </w:tbl>
    <w:p w14:paraId="2BB20CBB" w14:textId="77777777" w:rsidR="00B61F28" w:rsidRPr="00B61F28" w:rsidRDefault="00B61F28" w:rsidP="00B61F28">
      <w:pPr>
        <w:pStyle w:val="BodyTextIndent"/>
        <w:ind w:firstLine="0"/>
      </w:pPr>
      <w:r w:rsidRPr="00B61F28">
        <w:t>Notes:</w:t>
      </w:r>
    </w:p>
    <w:p w14:paraId="689F1A94" w14:textId="77777777" w:rsidR="00B61F28" w:rsidRPr="00B61F28" w:rsidRDefault="00B61F28" w:rsidP="00B61F28">
      <w:pPr>
        <w:pStyle w:val="BodyTextIndent"/>
        <w:ind w:firstLine="0"/>
      </w:pPr>
      <w:r w:rsidRPr="00B61F28">
        <w:t>ROA = Return on Assets, RET = Stock Return, ESG = environmental, social, and governance, GB = dummy - green bond, GOV = percentage of government owned (SOE), SIZE = Total Assets, LEV = total debt / total assets, GDPG = GDP growth, IND = dummy industry.</w:t>
      </w:r>
    </w:p>
    <w:p w14:paraId="3ACB85E5" w14:textId="77777777" w:rsidR="00B61F28" w:rsidRPr="00B61F28" w:rsidRDefault="00B61F28" w:rsidP="00B61F28">
      <w:pPr>
        <w:pStyle w:val="BodyTextIndent"/>
        <w:ind w:firstLine="0"/>
      </w:pPr>
      <w:r w:rsidRPr="00B61F28">
        <w:t>Standard error *, **, *** shows the significance at 10%, 5% dan 1%;</w:t>
      </w:r>
    </w:p>
    <w:p w14:paraId="162D5A38" w14:textId="091C1F97" w:rsidR="00B44CFB" w:rsidRDefault="00B61F28" w:rsidP="00B61F28">
      <w:pPr>
        <w:pStyle w:val="BodyTextIndent"/>
        <w:ind w:firstLine="0"/>
      </w:pPr>
      <w:r w:rsidRPr="00B61F28">
        <w:t>Sources: author’ s calculation.</w:t>
      </w:r>
    </w:p>
    <w:p w14:paraId="16F490F7" w14:textId="3F6A148B" w:rsidR="007309A1" w:rsidRDefault="007309A1" w:rsidP="00B61F28">
      <w:pPr>
        <w:pStyle w:val="BodyTextIndent"/>
        <w:ind w:firstLine="0"/>
      </w:pPr>
    </w:p>
    <w:p w14:paraId="69F467FC" w14:textId="77777777" w:rsidR="007309A1" w:rsidRDefault="007309A1" w:rsidP="007309A1">
      <w:pPr>
        <w:pStyle w:val="BodyTextIndent"/>
        <w:ind w:firstLine="0"/>
      </w:pPr>
      <w:r>
        <w:t xml:space="preserve">The above table explains the regression results regarding whether ESG has an impact on company performance using two performance proxies, namely profitability (ROA) and economic performance or in this case is stock returns (RET). Models 1 and 3, models without moderation, show that the coefficient of ESG is positive and significant. Both of these regression results are consistent with models 2 and 4 which add interacting variables, namely </w:t>
      </w:r>
      <w:proofErr w:type="spellStart"/>
      <w:r>
        <w:t>LnESG</w:t>
      </w:r>
      <w:proofErr w:type="spellEnd"/>
      <w:r>
        <w:t xml:space="preserve"> * GB. This can be interpreted that ESG investment can improve company performance both profitability and stock return. These results are consistent with the predictions and previous studies (see [2]; [1]).</w:t>
      </w:r>
    </w:p>
    <w:p w14:paraId="604611E6" w14:textId="77777777" w:rsidR="007309A1" w:rsidRDefault="007309A1" w:rsidP="007309A1">
      <w:pPr>
        <w:pStyle w:val="BodyTextIndent"/>
      </w:pPr>
      <w:r>
        <w:t>The study results explain that there is no difference in company performance between those which issue green bonds (GB) and those which do not. GB also fails to moderate the effect of ESG investment on these two types of company performance. Meanwhile, whether the higher the level of government ownership will further improve the performance it turns out it is only proven to stock returns. Furthermore, the greater government ownership weakens the effect of ESG investment on stock returns. In other words, ESG investments of state-owned companies have actually worsened the company's stock returns. This result is not in line with the prediction. This study suggests that there is a possibility of domination of the block of shares owned by the state. As stated by [32] that state-owned companies perform worse than private companies because the greater ownership by the government leads to lower labor productivity and profitability.</w:t>
      </w:r>
    </w:p>
    <w:p w14:paraId="7B299F36" w14:textId="77777777" w:rsidR="007309A1" w:rsidRDefault="007309A1" w:rsidP="007309A1">
      <w:pPr>
        <w:pStyle w:val="BodyTextIndent"/>
      </w:pPr>
      <w:r>
        <w:t>Finally, there is a consistency of the regression results for the control variables both with/without moderating variables that the firm size (</w:t>
      </w:r>
      <w:proofErr w:type="spellStart"/>
      <w:r>
        <w:t>lnSIZES</w:t>
      </w:r>
      <w:proofErr w:type="spellEnd"/>
      <w:r>
        <w:t>) has a positive effect on ROA and stock returns. The greater the investment in assets the more likely it is to be a predictor of company performance [33]. Companies with large sizes tend to have good business continuity and are better able to generate profits that can be distributed to shareholders.</w:t>
      </w:r>
    </w:p>
    <w:p w14:paraId="06CDC1B9" w14:textId="77777777" w:rsidR="007309A1" w:rsidRDefault="007309A1" w:rsidP="007309A1">
      <w:pPr>
        <w:pStyle w:val="BodyTextIndent"/>
      </w:pPr>
      <w:r>
        <w:t>There is a negative effects of corporate leverage (LEV) and a country's GDP growth rate (</w:t>
      </w:r>
      <w:proofErr w:type="spellStart"/>
      <w:r>
        <w:t>lnGDPG</w:t>
      </w:r>
      <w:proofErr w:type="spellEnd"/>
      <w:r>
        <w:t>) on ROA and stock returns. In line with the findings of [34], the higher leverage tends to have the potential for corporate solvency so as to disrupt profitability and stock returns. While the negative impact of GDPG on ROA and stock returns is in line with the view that high economic growth improves the business environment of business (competitive) and reduces barriers to bank entry. As a result, increased competition reduces bank profitability and ultimately decreases stock returns [35].</w:t>
      </w:r>
    </w:p>
    <w:p w14:paraId="1E8D874A" w14:textId="77777777" w:rsidR="007309A1" w:rsidRDefault="007309A1" w:rsidP="007309A1">
      <w:pPr>
        <w:pStyle w:val="BodyTextIndent"/>
      </w:pPr>
      <w:r>
        <w:t xml:space="preserve">Testing of the effects of the industrial sector shows the opposite result that the financial sector has a smaller ROA and vice versa has a greater stock return than the non-financial sector. In accordance with the results of the correlation (see the correlation matrix table) and </w:t>
      </w:r>
      <w:proofErr w:type="spellStart"/>
      <w:r>
        <w:t>Ahem's</w:t>
      </w:r>
      <w:proofErr w:type="spellEnd"/>
      <w:r>
        <w:t xml:space="preserve"> survey (2020)   that the average ROA of financial corporate very low (around 1%), while the ROA value for non-financial corporate is above 2%. While financial company stock returns are higher due to this business tends to face higher risks related to financial instruments so that investors demand higher returns.</w:t>
      </w:r>
    </w:p>
    <w:p w14:paraId="368BD463" w14:textId="77777777" w:rsidR="007309A1" w:rsidRDefault="007309A1" w:rsidP="007309A1">
      <w:pPr>
        <w:pStyle w:val="BodyTextIndent"/>
      </w:pPr>
    </w:p>
    <w:p w14:paraId="2D5F9DC7" w14:textId="77777777" w:rsidR="007309A1" w:rsidRPr="007309A1" w:rsidRDefault="007309A1" w:rsidP="007309A1">
      <w:pPr>
        <w:pStyle w:val="BodyTextIndent"/>
        <w:ind w:firstLine="0"/>
        <w:rPr>
          <w:i/>
          <w:iCs/>
        </w:rPr>
      </w:pPr>
      <w:r w:rsidRPr="007309A1">
        <w:rPr>
          <w:i/>
          <w:iCs/>
        </w:rPr>
        <w:t xml:space="preserve">Robustness Test </w:t>
      </w:r>
    </w:p>
    <w:p w14:paraId="48349D88" w14:textId="77777777" w:rsidR="007309A1" w:rsidRDefault="007309A1" w:rsidP="007309A1">
      <w:pPr>
        <w:pStyle w:val="BodyTextIndent"/>
        <w:ind w:firstLine="0"/>
      </w:pPr>
      <w:r>
        <w:t>Furthermore, this study conducts a robustness test on the main model by carrying out two steps. First, eliminate Singapore data due to this country is the only one that is categorized as a developed country. Secondly, rerun without the 2019 data due to avoid the possible effects of Covid-19. Both of these steps are taken to avoid bias on corporate financial statement data and macro data. Table 4 explains the robustness test results which can be concluded that the main regression results are robust.</w:t>
      </w:r>
    </w:p>
    <w:p w14:paraId="2AD25474" w14:textId="77777777" w:rsidR="007309A1" w:rsidRDefault="007309A1" w:rsidP="007309A1">
      <w:pPr>
        <w:pStyle w:val="BodyTextIndent"/>
        <w:ind w:firstLine="0"/>
        <w:jc w:val="center"/>
        <w:rPr>
          <w:b/>
          <w:bCs/>
        </w:rPr>
      </w:pPr>
    </w:p>
    <w:p w14:paraId="3E1D8807" w14:textId="37135C9E" w:rsidR="007309A1" w:rsidRDefault="007309A1" w:rsidP="007309A1">
      <w:pPr>
        <w:pStyle w:val="BodyTextIndent"/>
        <w:ind w:firstLine="0"/>
        <w:jc w:val="center"/>
        <w:rPr>
          <w:b/>
          <w:bCs/>
        </w:rPr>
      </w:pPr>
      <w:r w:rsidRPr="007309A1">
        <w:rPr>
          <w:b/>
          <w:bCs/>
        </w:rPr>
        <w:t>Table 4.</w:t>
      </w:r>
      <w:r>
        <w:rPr>
          <w:b/>
          <w:bCs/>
        </w:rPr>
        <w:t xml:space="preserve"> </w:t>
      </w:r>
      <w:r w:rsidRPr="007309A1">
        <w:rPr>
          <w:b/>
          <w:bCs/>
        </w:rPr>
        <w:t>Robustness Test</w:t>
      </w:r>
      <w:r>
        <w:rPr>
          <w:b/>
          <w:bCs/>
        </w:rPr>
        <w:t xml:space="preserve"> </w:t>
      </w:r>
      <w:r w:rsidRPr="007309A1">
        <w:rPr>
          <w:b/>
          <w:bCs/>
        </w:rPr>
        <w:t>of the Main Model</w:t>
      </w:r>
    </w:p>
    <w:tbl>
      <w:tblPr>
        <w:tblW w:w="5572" w:type="pct"/>
        <w:jc w:val="center"/>
        <w:tblLook w:val="04A0" w:firstRow="1" w:lastRow="0" w:firstColumn="1" w:lastColumn="0" w:noHBand="0" w:noVBand="1"/>
      </w:tblPr>
      <w:tblGrid>
        <w:gridCol w:w="1060"/>
        <w:gridCol w:w="441"/>
        <w:gridCol w:w="576"/>
        <w:gridCol w:w="366"/>
        <w:gridCol w:w="576"/>
        <w:gridCol w:w="315"/>
        <w:gridCol w:w="576"/>
        <w:gridCol w:w="401"/>
        <w:gridCol w:w="639"/>
        <w:gridCol w:w="401"/>
      </w:tblGrid>
      <w:tr w:rsidR="007309A1" w:rsidRPr="007309A1" w14:paraId="691AA3AB" w14:textId="77777777" w:rsidTr="007309A1">
        <w:trPr>
          <w:trHeight w:val="387"/>
          <w:tblHeader/>
          <w:jc w:val="center"/>
        </w:trPr>
        <w:tc>
          <w:tcPr>
            <w:tcW w:w="991" w:type="pct"/>
            <w:vMerge w:val="restart"/>
            <w:vAlign w:val="center"/>
            <w:hideMark/>
          </w:tcPr>
          <w:p w14:paraId="70E948BC" w14:textId="2F30A159" w:rsidR="007309A1" w:rsidRDefault="007309A1">
            <w:pPr>
              <w:spacing w:after="0"/>
              <w:jc w:val="center"/>
              <w:rPr>
                <w:sz w:val="16"/>
                <w:szCs w:val="16"/>
              </w:rPr>
            </w:pPr>
            <w:r w:rsidRPr="007309A1">
              <w:rPr>
                <w:sz w:val="16"/>
                <w:szCs w:val="16"/>
              </w:rPr>
              <w:t>Dep</w:t>
            </w:r>
            <w:r>
              <w:rPr>
                <w:sz w:val="16"/>
                <w:szCs w:val="16"/>
              </w:rPr>
              <w:t xml:space="preserve">./ </w:t>
            </w:r>
            <w:proofErr w:type="spellStart"/>
            <w:r w:rsidRPr="007309A1">
              <w:rPr>
                <w:sz w:val="16"/>
                <w:szCs w:val="16"/>
              </w:rPr>
              <w:t>Indep</w:t>
            </w:r>
            <w:proofErr w:type="spellEnd"/>
            <w:r>
              <w:rPr>
                <w:sz w:val="16"/>
                <w:szCs w:val="16"/>
              </w:rPr>
              <w:t>.</w:t>
            </w:r>
          </w:p>
          <w:p w14:paraId="264DC846" w14:textId="2378EB58" w:rsidR="007309A1" w:rsidRPr="007309A1" w:rsidRDefault="007309A1">
            <w:pPr>
              <w:spacing w:after="0"/>
              <w:jc w:val="center"/>
              <w:rPr>
                <w:sz w:val="16"/>
                <w:szCs w:val="16"/>
              </w:rPr>
            </w:pPr>
            <w:r w:rsidRPr="007309A1">
              <w:rPr>
                <w:sz w:val="16"/>
                <w:szCs w:val="16"/>
              </w:rPr>
              <w:t>variables</w:t>
            </w:r>
          </w:p>
        </w:tc>
        <w:tc>
          <w:tcPr>
            <w:tcW w:w="412" w:type="pct"/>
            <w:vMerge w:val="restart"/>
            <w:vAlign w:val="center"/>
            <w:hideMark/>
          </w:tcPr>
          <w:p w14:paraId="1108DC35" w14:textId="2060F5A7" w:rsidR="007309A1" w:rsidRPr="007309A1" w:rsidRDefault="007309A1">
            <w:pPr>
              <w:spacing w:after="0"/>
              <w:ind w:left="-69" w:right="-73"/>
              <w:jc w:val="center"/>
              <w:rPr>
                <w:sz w:val="16"/>
                <w:szCs w:val="16"/>
              </w:rPr>
            </w:pPr>
            <w:proofErr w:type="spellStart"/>
            <w:r w:rsidRPr="007309A1">
              <w:rPr>
                <w:sz w:val="16"/>
                <w:szCs w:val="16"/>
              </w:rPr>
              <w:t>Pred</w:t>
            </w:r>
            <w:proofErr w:type="spellEnd"/>
          </w:p>
        </w:tc>
        <w:tc>
          <w:tcPr>
            <w:tcW w:w="880" w:type="pct"/>
            <w:gridSpan w:val="2"/>
            <w:vAlign w:val="center"/>
            <w:hideMark/>
          </w:tcPr>
          <w:p w14:paraId="1BF48844" w14:textId="77777777" w:rsidR="007309A1" w:rsidRPr="007309A1" w:rsidRDefault="007309A1">
            <w:pPr>
              <w:spacing w:after="0"/>
              <w:ind w:right="-73"/>
              <w:jc w:val="center"/>
              <w:rPr>
                <w:sz w:val="16"/>
                <w:szCs w:val="16"/>
              </w:rPr>
            </w:pPr>
            <w:r w:rsidRPr="007309A1">
              <w:rPr>
                <w:sz w:val="16"/>
                <w:szCs w:val="16"/>
              </w:rPr>
              <w:t xml:space="preserve">ROA </w:t>
            </w:r>
          </w:p>
        </w:tc>
        <w:tc>
          <w:tcPr>
            <w:tcW w:w="832" w:type="pct"/>
            <w:gridSpan w:val="2"/>
            <w:vAlign w:val="center"/>
            <w:hideMark/>
          </w:tcPr>
          <w:p w14:paraId="0F1C5639" w14:textId="77777777" w:rsidR="007309A1" w:rsidRPr="007309A1" w:rsidRDefault="007309A1">
            <w:pPr>
              <w:spacing w:after="0"/>
              <w:ind w:left="-143"/>
              <w:jc w:val="center"/>
              <w:rPr>
                <w:sz w:val="16"/>
                <w:szCs w:val="16"/>
              </w:rPr>
            </w:pPr>
            <w:r w:rsidRPr="007309A1">
              <w:rPr>
                <w:sz w:val="16"/>
                <w:szCs w:val="16"/>
              </w:rPr>
              <w:t>ROA</w:t>
            </w:r>
          </w:p>
        </w:tc>
        <w:tc>
          <w:tcPr>
            <w:tcW w:w="913" w:type="pct"/>
            <w:gridSpan w:val="2"/>
            <w:vAlign w:val="center"/>
            <w:hideMark/>
          </w:tcPr>
          <w:p w14:paraId="4D24810D" w14:textId="77777777" w:rsidR="007309A1" w:rsidRPr="007309A1" w:rsidRDefault="007309A1">
            <w:pPr>
              <w:spacing w:after="0"/>
              <w:jc w:val="center"/>
              <w:rPr>
                <w:sz w:val="16"/>
                <w:szCs w:val="16"/>
              </w:rPr>
            </w:pPr>
            <w:r w:rsidRPr="007309A1">
              <w:rPr>
                <w:sz w:val="16"/>
                <w:szCs w:val="16"/>
              </w:rPr>
              <w:t>RET</w:t>
            </w:r>
          </w:p>
        </w:tc>
        <w:tc>
          <w:tcPr>
            <w:tcW w:w="969" w:type="pct"/>
            <w:gridSpan w:val="2"/>
            <w:vAlign w:val="center"/>
            <w:hideMark/>
          </w:tcPr>
          <w:p w14:paraId="0C77C058" w14:textId="77777777" w:rsidR="007309A1" w:rsidRPr="007309A1" w:rsidRDefault="007309A1">
            <w:pPr>
              <w:spacing w:after="0"/>
              <w:jc w:val="center"/>
              <w:rPr>
                <w:sz w:val="16"/>
                <w:szCs w:val="16"/>
              </w:rPr>
            </w:pPr>
            <w:r w:rsidRPr="007309A1">
              <w:rPr>
                <w:sz w:val="16"/>
                <w:szCs w:val="16"/>
              </w:rPr>
              <w:t>RET</w:t>
            </w:r>
          </w:p>
        </w:tc>
      </w:tr>
      <w:tr w:rsidR="007309A1" w:rsidRPr="007309A1" w14:paraId="110B1ABC" w14:textId="77777777" w:rsidTr="007309A1">
        <w:trPr>
          <w:trHeight w:val="360"/>
          <w:tblHeader/>
          <w:jc w:val="center"/>
        </w:trPr>
        <w:tc>
          <w:tcPr>
            <w:tcW w:w="991" w:type="pct"/>
            <w:vMerge/>
            <w:vAlign w:val="center"/>
            <w:hideMark/>
          </w:tcPr>
          <w:p w14:paraId="3E05BDB3" w14:textId="77777777" w:rsidR="007309A1" w:rsidRPr="007309A1" w:rsidRDefault="007309A1">
            <w:pPr>
              <w:spacing w:after="0" w:line="256" w:lineRule="auto"/>
              <w:rPr>
                <w:sz w:val="16"/>
                <w:szCs w:val="16"/>
              </w:rPr>
            </w:pPr>
          </w:p>
        </w:tc>
        <w:tc>
          <w:tcPr>
            <w:tcW w:w="0" w:type="auto"/>
            <w:vMerge/>
            <w:vAlign w:val="center"/>
            <w:hideMark/>
          </w:tcPr>
          <w:p w14:paraId="7D4B490D" w14:textId="77777777" w:rsidR="007309A1" w:rsidRPr="007309A1" w:rsidRDefault="007309A1">
            <w:pPr>
              <w:spacing w:after="0" w:line="256" w:lineRule="auto"/>
              <w:rPr>
                <w:sz w:val="16"/>
                <w:szCs w:val="16"/>
              </w:rPr>
            </w:pPr>
          </w:p>
        </w:tc>
        <w:tc>
          <w:tcPr>
            <w:tcW w:w="880" w:type="pct"/>
            <w:gridSpan w:val="2"/>
            <w:vAlign w:val="center"/>
            <w:hideMark/>
          </w:tcPr>
          <w:p w14:paraId="4C3E6D6F" w14:textId="77777777" w:rsidR="007309A1" w:rsidRPr="007309A1" w:rsidRDefault="007309A1">
            <w:pPr>
              <w:spacing w:after="0"/>
              <w:ind w:right="-73"/>
              <w:jc w:val="center"/>
              <w:rPr>
                <w:sz w:val="16"/>
                <w:szCs w:val="16"/>
              </w:rPr>
            </w:pPr>
            <w:r w:rsidRPr="007309A1">
              <w:rPr>
                <w:sz w:val="16"/>
                <w:szCs w:val="16"/>
              </w:rPr>
              <w:t>ASEAN-4</w:t>
            </w:r>
          </w:p>
        </w:tc>
        <w:tc>
          <w:tcPr>
            <w:tcW w:w="832" w:type="pct"/>
            <w:gridSpan w:val="2"/>
            <w:vAlign w:val="center"/>
            <w:hideMark/>
          </w:tcPr>
          <w:p w14:paraId="11F922F4" w14:textId="77777777" w:rsidR="007309A1" w:rsidRPr="007309A1" w:rsidRDefault="007309A1">
            <w:pPr>
              <w:spacing w:after="0"/>
              <w:ind w:left="-143"/>
              <w:jc w:val="center"/>
              <w:rPr>
                <w:color w:val="FF0000"/>
                <w:sz w:val="16"/>
                <w:szCs w:val="16"/>
              </w:rPr>
            </w:pPr>
            <w:r w:rsidRPr="007309A1">
              <w:rPr>
                <w:sz w:val="16"/>
                <w:szCs w:val="16"/>
              </w:rPr>
              <w:t>2017-2018</w:t>
            </w:r>
          </w:p>
        </w:tc>
        <w:tc>
          <w:tcPr>
            <w:tcW w:w="913" w:type="pct"/>
            <w:gridSpan w:val="2"/>
            <w:vAlign w:val="center"/>
            <w:hideMark/>
          </w:tcPr>
          <w:p w14:paraId="1DBEA623" w14:textId="77777777" w:rsidR="007309A1" w:rsidRPr="007309A1" w:rsidRDefault="007309A1">
            <w:pPr>
              <w:spacing w:after="0"/>
              <w:jc w:val="center"/>
              <w:rPr>
                <w:sz w:val="16"/>
                <w:szCs w:val="16"/>
              </w:rPr>
            </w:pPr>
            <w:r w:rsidRPr="007309A1">
              <w:rPr>
                <w:sz w:val="16"/>
                <w:szCs w:val="16"/>
              </w:rPr>
              <w:t>ASEAN-4</w:t>
            </w:r>
          </w:p>
        </w:tc>
        <w:tc>
          <w:tcPr>
            <w:tcW w:w="969" w:type="pct"/>
            <w:gridSpan w:val="2"/>
            <w:vAlign w:val="center"/>
            <w:hideMark/>
          </w:tcPr>
          <w:p w14:paraId="35F848BC" w14:textId="77777777" w:rsidR="007309A1" w:rsidRPr="007309A1" w:rsidRDefault="007309A1">
            <w:pPr>
              <w:spacing w:after="0"/>
              <w:jc w:val="center"/>
              <w:rPr>
                <w:sz w:val="16"/>
                <w:szCs w:val="16"/>
              </w:rPr>
            </w:pPr>
            <w:r w:rsidRPr="007309A1">
              <w:rPr>
                <w:sz w:val="16"/>
                <w:szCs w:val="16"/>
              </w:rPr>
              <w:t>2017-2018</w:t>
            </w:r>
          </w:p>
        </w:tc>
      </w:tr>
      <w:tr w:rsidR="007309A1" w:rsidRPr="007309A1" w14:paraId="746B1D3F" w14:textId="77777777" w:rsidTr="007309A1">
        <w:trPr>
          <w:jc w:val="center"/>
        </w:trPr>
        <w:tc>
          <w:tcPr>
            <w:tcW w:w="991" w:type="pct"/>
            <w:vAlign w:val="center"/>
            <w:hideMark/>
          </w:tcPr>
          <w:p w14:paraId="720D47E1" w14:textId="77777777" w:rsidR="007309A1" w:rsidRPr="007309A1" w:rsidRDefault="007309A1">
            <w:pPr>
              <w:spacing w:after="0"/>
              <w:rPr>
                <w:sz w:val="16"/>
                <w:szCs w:val="16"/>
              </w:rPr>
            </w:pPr>
            <w:proofErr w:type="spellStart"/>
            <w:r w:rsidRPr="007309A1">
              <w:rPr>
                <w:sz w:val="16"/>
                <w:szCs w:val="16"/>
              </w:rPr>
              <w:t>LnESG</w:t>
            </w:r>
            <w:proofErr w:type="spellEnd"/>
          </w:p>
        </w:tc>
        <w:tc>
          <w:tcPr>
            <w:tcW w:w="412" w:type="pct"/>
            <w:vAlign w:val="center"/>
            <w:hideMark/>
          </w:tcPr>
          <w:p w14:paraId="028B7BAD" w14:textId="77777777" w:rsidR="007309A1" w:rsidRPr="007309A1" w:rsidRDefault="007309A1">
            <w:pPr>
              <w:spacing w:after="0"/>
              <w:ind w:right="-73"/>
              <w:jc w:val="center"/>
              <w:rPr>
                <w:sz w:val="16"/>
                <w:szCs w:val="16"/>
              </w:rPr>
            </w:pPr>
            <w:r w:rsidRPr="007309A1">
              <w:rPr>
                <w:sz w:val="16"/>
                <w:szCs w:val="16"/>
              </w:rPr>
              <w:t>+</w:t>
            </w:r>
          </w:p>
        </w:tc>
        <w:tc>
          <w:tcPr>
            <w:tcW w:w="538" w:type="pct"/>
            <w:hideMark/>
          </w:tcPr>
          <w:p w14:paraId="3C1455EB" w14:textId="77777777" w:rsidR="007309A1" w:rsidRPr="007309A1" w:rsidRDefault="007309A1">
            <w:pPr>
              <w:spacing w:after="0"/>
              <w:ind w:right="-73"/>
              <w:jc w:val="right"/>
              <w:rPr>
                <w:sz w:val="16"/>
                <w:szCs w:val="16"/>
              </w:rPr>
            </w:pPr>
            <w:r w:rsidRPr="007309A1">
              <w:rPr>
                <w:sz w:val="16"/>
                <w:szCs w:val="16"/>
              </w:rPr>
              <w:t>0.011</w:t>
            </w:r>
          </w:p>
        </w:tc>
        <w:tc>
          <w:tcPr>
            <w:tcW w:w="342" w:type="pct"/>
            <w:vAlign w:val="center"/>
            <w:hideMark/>
          </w:tcPr>
          <w:p w14:paraId="7330E971" w14:textId="77777777" w:rsidR="007309A1" w:rsidRPr="007309A1" w:rsidRDefault="007309A1">
            <w:pPr>
              <w:spacing w:after="0"/>
              <w:ind w:left="-90" w:right="-73"/>
              <w:rPr>
                <w:sz w:val="16"/>
                <w:szCs w:val="16"/>
              </w:rPr>
            </w:pPr>
            <w:r w:rsidRPr="007309A1">
              <w:rPr>
                <w:sz w:val="16"/>
                <w:szCs w:val="16"/>
              </w:rPr>
              <w:t>***</w:t>
            </w:r>
          </w:p>
        </w:tc>
        <w:tc>
          <w:tcPr>
            <w:tcW w:w="538" w:type="pct"/>
            <w:hideMark/>
          </w:tcPr>
          <w:p w14:paraId="3678996D" w14:textId="77777777" w:rsidR="007309A1" w:rsidRPr="007309A1" w:rsidRDefault="007309A1">
            <w:pPr>
              <w:spacing w:after="0"/>
              <w:ind w:right="-73"/>
              <w:jc w:val="right"/>
              <w:rPr>
                <w:color w:val="FF0000"/>
                <w:sz w:val="16"/>
                <w:szCs w:val="16"/>
              </w:rPr>
            </w:pPr>
            <w:r w:rsidRPr="007309A1">
              <w:rPr>
                <w:sz w:val="16"/>
                <w:szCs w:val="16"/>
              </w:rPr>
              <w:t>0.009</w:t>
            </w:r>
          </w:p>
        </w:tc>
        <w:tc>
          <w:tcPr>
            <w:tcW w:w="293" w:type="pct"/>
            <w:vAlign w:val="center"/>
            <w:hideMark/>
          </w:tcPr>
          <w:p w14:paraId="4BA2AA5C" w14:textId="77777777" w:rsidR="007309A1" w:rsidRPr="007309A1" w:rsidRDefault="007309A1">
            <w:pPr>
              <w:spacing w:after="0"/>
              <w:ind w:left="-143"/>
              <w:rPr>
                <w:sz w:val="16"/>
                <w:szCs w:val="16"/>
              </w:rPr>
            </w:pPr>
            <w:r w:rsidRPr="007309A1">
              <w:rPr>
                <w:sz w:val="16"/>
                <w:szCs w:val="16"/>
              </w:rPr>
              <w:t>***</w:t>
            </w:r>
          </w:p>
        </w:tc>
        <w:tc>
          <w:tcPr>
            <w:tcW w:w="538" w:type="pct"/>
            <w:vAlign w:val="center"/>
            <w:hideMark/>
          </w:tcPr>
          <w:p w14:paraId="3A6E7B5E" w14:textId="77777777" w:rsidR="007309A1" w:rsidRPr="007309A1" w:rsidRDefault="007309A1">
            <w:pPr>
              <w:spacing w:after="0"/>
              <w:ind w:right="-71"/>
              <w:jc w:val="right"/>
              <w:rPr>
                <w:sz w:val="16"/>
                <w:szCs w:val="16"/>
              </w:rPr>
            </w:pPr>
            <w:r w:rsidRPr="007309A1">
              <w:rPr>
                <w:sz w:val="16"/>
                <w:szCs w:val="16"/>
              </w:rPr>
              <w:t>0.013</w:t>
            </w:r>
          </w:p>
        </w:tc>
        <w:tc>
          <w:tcPr>
            <w:tcW w:w="375" w:type="pct"/>
            <w:hideMark/>
          </w:tcPr>
          <w:p w14:paraId="3B7F86DC" w14:textId="77777777" w:rsidR="007309A1" w:rsidRPr="007309A1" w:rsidRDefault="007309A1">
            <w:pPr>
              <w:spacing w:after="0"/>
              <w:ind w:left="-60"/>
              <w:rPr>
                <w:sz w:val="16"/>
                <w:szCs w:val="16"/>
              </w:rPr>
            </w:pPr>
            <w:r w:rsidRPr="007309A1">
              <w:rPr>
                <w:sz w:val="16"/>
                <w:szCs w:val="16"/>
              </w:rPr>
              <w:t>*</w:t>
            </w:r>
          </w:p>
        </w:tc>
        <w:tc>
          <w:tcPr>
            <w:tcW w:w="597" w:type="pct"/>
            <w:vAlign w:val="center"/>
            <w:hideMark/>
          </w:tcPr>
          <w:p w14:paraId="26658B3A" w14:textId="77777777" w:rsidR="007309A1" w:rsidRPr="007309A1" w:rsidRDefault="007309A1">
            <w:pPr>
              <w:spacing w:after="0"/>
              <w:jc w:val="right"/>
              <w:rPr>
                <w:color w:val="FF0000"/>
                <w:sz w:val="16"/>
                <w:szCs w:val="16"/>
              </w:rPr>
            </w:pPr>
            <w:r w:rsidRPr="007309A1">
              <w:rPr>
                <w:sz w:val="16"/>
                <w:szCs w:val="16"/>
              </w:rPr>
              <w:t>0.020</w:t>
            </w:r>
          </w:p>
        </w:tc>
        <w:tc>
          <w:tcPr>
            <w:tcW w:w="375" w:type="pct"/>
            <w:hideMark/>
          </w:tcPr>
          <w:p w14:paraId="209AF9BA" w14:textId="77777777" w:rsidR="007309A1" w:rsidRPr="007309A1" w:rsidRDefault="007309A1">
            <w:pPr>
              <w:spacing w:after="0"/>
              <w:rPr>
                <w:color w:val="FF0000"/>
                <w:sz w:val="16"/>
                <w:szCs w:val="16"/>
              </w:rPr>
            </w:pPr>
            <w:r w:rsidRPr="007309A1">
              <w:rPr>
                <w:sz w:val="16"/>
                <w:szCs w:val="16"/>
              </w:rPr>
              <w:t>**</w:t>
            </w:r>
          </w:p>
        </w:tc>
      </w:tr>
      <w:tr w:rsidR="007309A1" w:rsidRPr="007309A1" w14:paraId="412E9259" w14:textId="77777777" w:rsidTr="007309A1">
        <w:trPr>
          <w:jc w:val="center"/>
        </w:trPr>
        <w:tc>
          <w:tcPr>
            <w:tcW w:w="991" w:type="pct"/>
            <w:vAlign w:val="center"/>
            <w:hideMark/>
          </w:tcPr>
          <w:p w14:paraId="4C4E016E" w14:textId="77777777" w:rsidR="007309A1" w:rsidRPr="007309A1" w:rsidRDefault="007309A1">
            <w:pPr>
              <w:spacing w:after="0"/>
              <w:rPr>
                <w:sz w:val="16"/>
                <w:szCs w:val="16"/>
              </w:rPr>
            </w:pPr>
            <w:r w:rsidRPr="007309A1">
              <w:rPr>
                <w:sz w:val="16"/>
                <w:szCs w:val="16"/>
              </w:rPr>
              <w:t>GB</w:t>
            </w:r>
          </w:p>
        </w:tc>
        <w:tc>
          <w:tcPr>
            <w:tcW w:w="412" w:type="pct"/>
            <w:vAlign w:val="center"/>
            <w:hideMark/>
          </w:tcPr>
          <w:p w14:paraId="6799C96D" w14:textId="77777777" w:rsidR="007309A1" w:rsidRPr="007309A1" w:rsidRDefault="007309A1">
            <w:pPr>
              <w:spacing w:after="0"/>
              <w:ind w:right="-73"/>
              <w:jc w:val="center"/>
              <w:rPr>
                <w:sz w:val="16"/>
                <w:szCs w:val="16"/>
              </w:rPr>
            </w:pPr>
            <w:r w:rsidRPr="007309A1">
              <w:rPr>
                <w:sz w:val="16"/>
                <w:szCs w:val="16"/>
              </w:rPr>
              <w:t>+</w:t>
            </w:r>
          </w:p>
        </w:tc>
        <w:tc>
          <w:tcPr>
            <w:tcW w:w="538" w:type="pct"/>
            <w:vAlign w:val="center"/>
            <w:hideMark/>
          </w:tcPr>
          <w:p w14:paraId="11D14D17" w14:textId="77777777" w:rsidR="007309A1" w:rsidRPr="007309A1" w:rsidRDefault="007309A1" w:rsidP="007309A1">
            <w:pPr>
              <w:spacing w:after="0"/>
              <w:ind w:right="-73"/>
              <w:jc w:val="center"/>
              <w:rPr>
                <w:sz w:val="16"/>
                <w:szCs w:val="16"/>
              </w:rPr>
            </w:pPr>
            <w:r w:rsidRPr="007309A1">
              <w:rPr>
                <w:sz w:val="16"/>
                <w:szCs w:val="16"/>
              </w:rPr>
              <w:t>0.049</w:t>
            </w:r>
          </w:p>
        </w:tc>
        <w:tc>
          <w:tcPr>
            <w:tcW w:w="342" w:type="pct"/>
            <w:vAlign w:val="center"/>
          </w:tcPr>
          <w:p w14:paraId="258733D0" w14:textId="77777777" w:rsidR="007309A1" w:rsidRPr="007309A1" w:rsidRDefault="007309A1" w:rsidP="007309A1">
            <w:pPr>
              <w:spacing w:after="0"/>
              <w:ind w:left="-90" w:right="-73"/>
              <w:jc w:val="center"/>
              <w:rPr>
                <w:sz w:val="16"/>
                <w:szCs w:val="16"/>
              </w:rPr>
            </w:pPr>
          </w:p>
        </w:tc>
        <w:tc>
          <w:tcPr>
            <w:tcW w:w="538" w:type="pct"/>
            <w:vAlign w:val="center"/>
            <w:hideMark/>
          </w:tcPr>
          <w:p w14:paraId="4EDB7ED7" w14:textId="77777777" w:rsidR="007309A1" w:rsidRPr="007309A1" w:rsidRDefault="007309A1" w:rsidP="007309A1">
            <w:pPr>
              <w:spacing w:after="0"/>
              <w:ind w:right="-73"/>
              <w:jc w:val="center"/>
              <w:rPr>
                <w:color w:val="FF0000"/>
                <w:sz w:val="16"/>
                <w:szCs w:val="16"/>
              </w:rPr>
            </w:pPr>
            <w:r w:rsidRPr="007309A1">
              <w:rPr>
                <w:sz w:val="16"/>
                <w:szCs w:val="16"/>
              </w:rPr>
              <w:t>-0.089</w:t>
            </w:r>
          </w:p>
        </w:tc>
        <w:tc>
          <w:tcPr>
            <w:tcW w:w="293" w:type="pct"/>
            <w:vAlign w:val="center"/>
          </w:tcPr>
          <w:p w14:paraId="559DD47F" w14:textId="77777777" w:rsidR="007309A1" w:rsidRPr="007309A1" w:rsidRDefault="007309A1" w:rsidP="007309A1">
            <w:pPr>
              <w:spacing w:after="0"/>
              <w:ind w:left="-143"/>
              <w:jc w:val="center"/>
              <w:rPr>
                <w:sz w:val="16"/>
                <w:szCs w:val="16"/>
              </w:rPr>
            </w:pPr>
          </w:p>
        </w:tc>
        <w:tc>
          <w:tcPr>
            <w:tcW w:w="538" w:type="pct"/>
            <w:vAlign w:val="center"/>
            <w:hideMark/>
          </w:tcPr>
          <w:p w14:paraId="22EDF689" w14:textId="77777777" w:rsidR="007309A1" w:rsidRPr="007309A1" w:rsidRDefault="007309A1" w:rsidP="007309A1">
            <w:pPr>
              <w:spacing w:after="0"/>
              <w:ind w:right="-71"/>
              <w:jc w:val="center"/>
              <w:rPr>
                <w:sz w:val="16"/>
                <w:szCs w:val="16"/>
              </w:rPr>
            </w:pPr>
            <w:r w:rsidRPr="007309A1">
              <w:rPr>
                <w:sz w:val="16"/>
                <w:szCs w:val="16"/>
              </w:rPr>
              <w:t>-0.205</w:t>
            </w:r>
          </w:p>
        </w:tc>
        <w:tc>
          <w:tcPr>
            <w:tcW w:w="375" w:type="pct"/>
            <w:vAlign w:val="center"/>
            <w:hideMark/>
          </w:tcPr>
          <w:p w14:paraId="1E17BCEA" w14:textId="77777777" w:rsidR="007309A1" w:rsidRPr="007309A1" w:rsidRDefault="007309A1" w:rsidP="007309A1">
            <w:pPr>
              <w:spacing w:after="0"/>
              <w:ind w:left="-60"/>
              <w:jc w:val="center"/>
              <w:rPr>
                <w:sz w:val="16"/>
                <w:szCs w:val="16"/>
              </w:rPr>
            </w:pPr>
            <w:r w:rsidRPr="007309A1">
              <w:rPr>
                <w:sz w:val="16"/>
                <w:szCs w:val="16"/>
              </w:rPr>
              <w:t>**</w:t>
            </w:r>
          </w:p>
        </w:tc>
        <w:tc>
          <w:tcPr>
            <w:tcW w:w="597" w:type="pct"/>
            <w:vAlign w:val="center"/>
            <w:hideMark/>
          </w:tcPr>
          <w:p w14:paraId="0FB71A01" w14:textId="77777777" w:rsidR="007309A1" w:rsidRPr="007309A1" w:rsidRDefault="007309A1" w:rsidP="007309A1">
            <w:pPr>
              <w:spacing w:after="0"/>
              <w:jc w:val="center"/>
              <w:rPr>
                <w:color w:val="FF0000"/>
                <w:sz w:val="16"/>
                <w:szCs w:val="16"/>
              </w:rPr>
            </w:pPr>
            <w:r w:rsidRPr="007309A1">
              <w:rPr>
                <w:sz w:val="16"/>
                <w:szCs w:val="16"/>
              </w:rPr>
              <w:t>-0.173</w:t>
            </w:r>
          </w:p>
        </w:tc>
        <w:tc>
          <w:tcPr>
            <w:tcW w:w="375" w:type="pct"/>
          </w:tcPr>
          <w:p w14:paraId="7E6D464A" w14:textId="77777777" w:rsidR="007309A1" w:rsidRPr="007309A1" w:rsidRDefault="007309A1">
            <w:pPr>
              <w:spacing w:after="0"/>
              <w:rPr>
                <w:color w:val="FF0000"/>
                <w:sz w:val="16"/>
                <w:szCs w:val="16"/>
              </w:rPr>
            </w:pPr>
          </w:p>
        </w:tc>
      </w:tr>
      <w:tr w:rsidR="007309A1" w:rsidRPr="007309A1" w14:paraId="0685594D" w14:textId="77777777" w:rsidTr="007309A1">
        <w:trPr>
          <w:jc w:val="center"/>
        </w:trPr>
        <w:tc>
          <w:tcPr>
            <w:tcW w:w="991" w:type="pct"/>
            <w:vAlign w:val="center"/>
            <w:hideMark/>
          </w:tcPr>
          <w:p w14:paraId="32B137C6" w14:textId="77777777" w:rsidR="007309A1" w:rsidRPr="007309A1" w:rsidRDefault="007309A1">
            <w:pPr>
              <w:spacing w:after="0"/>
              <w:rPr>
                <w:sz w:val="16"/>
                <w:szCs w:val="16"/>
              </w:rPr>
            </w:pPr>
            <w:r w:rsidRPr="007309A1">
              <w:rPr>
                <w:sz w:val="16"/>
                <w:szCs w:val="16"/>
              </w:rPr>
              <w:t>GOV</w:t>
            </w:r>
          </w:p>
        </w:tc>
        <w:tc>
          <w:tcPr>
            <w:tcW w:w="412" w:type="pct"/>
            <w:vAlign w:val="center"/>
            <w:hideMark/>
          </w:tcPr>
          <w:p w14:paraId="53B57FCB" w14:textId="77777777" w:rsidR="007309A1" w:rsidRPr="007309A1" w:rsidRDefault="007309A1">
            <w:pPr>
              <w:spacing w:after="0"/>
              <w:ind w:right="-73"/>
              <w:jc w:val="center"/>
              <w:rPr>
                <w:sz w:val="16"/>
                <w:szCs w:val="16"/>
              </w:rPr>
            </w:pPr>
            <w:r w:rsidRPr="007309A1">
              <w:rPr>
                <w:sz w:val="16"/>
                <w:szCs w:val="16"/>
              </w:rPr>
              <w:t>+</w:t>
            </w:r>
          </w:p>
        </w:tc>
        <w:tc>
          <w:tcPr>
            <w:tcW w:w="538" w:type="pct"/>
            <w:hideMark/>
          </w:tcPr>
          <w:p w14:paraId="74F478EB" w14:textId="77777777" w:rsidR="007309A1" w:rsidRPr="007309A1" w:rsidRDefault="007309A1">
            <w:pPr>
              <w:spacing w:after="0"/>
              <w:ind w:right="-73"/>
              <w:jc w:val="right"/>
              <w:rPr>
                <w:sz w:val="16"/>
                <w:szCs w:val="16"/>
              </w:rPr>
            </w:pPr>
            <w:r w:rsidRPr="007309A1">
              <w:rPr>
                <w:sz w:val="16"/>
                <w:szCs w:val="16"/>
              </w:rPr>
              <w:t>-0.002</w:t>
            </w:r>
          </w:p>
        </w:tc>
        <w:tc>
          <w:tcPr>
            <w:tcW w:w="342" w:type="pct"/>
            <w:vAlign w:val="center"/>
          </w:tcPr>
          <w:p w14:paraId="61CFB7F8" w14:textId="77777777" w:rsidR="007309A1" w:rsidRPr="007309A1" w:rsidRDefault="007309A1">
            <w:pPr>
              <w:spacing w:after="0"/>
              <w:ind w:left="-90" w:right="-73"/>
              <w:rPr>
                <w:sz w:val="16"/>
                <w:szCs w:val="16"/>
              </w:rPr>
            </w:pPr>
          </w:p>
        </w:tc>
        <w:tc>
          <w:tcPr>
            <w:tcW w:w="538" w:type="pct"/>
            <w:hideMark/>
          </w:tcPr>
          <w:p w14:paraId="78D194CF" w14:textId="77777777" w:rsidR="007309A1" w:rsidRPr="007309A1" w:rsidRDefault="007309A1">
            <w:pPr>
              <w:spacing w:after="0"/>
              <w:ind w:right="-73"/>
              <w:jc w:val="right"/>
              <w:rPr>
                <w:color w:val="FF0000"/>
                <w:sz w:val="16"/>
                <w:szCs w:val="16"/>
              </w:rPr>
            </w:pPr>
            <w:r w:rsidRPr="007309A1">
              <w:rPr>
                <w:sz w:val="16"/>
                <w:szCs w:val="16"/>
              </w:rPr>
              <w:t>0.163</w:t>
            </w:r>
          </w:p>
        </w:tc>
        <w:tc>
          <w:tcPr>
            <w:tcW w:w="293" w:type="pct"/>
            <w:vAlign w:val="center"/>
            <w:hideMark/>
          </w:tcPr>
          <w:p w14:paraId="1B46C2BC" w14:textId="77777777" w:rsidR="007309A1" w:rsidRPr="007309A1" w:rsidRDefault="007309A1">
            <w:pPr>
              <w:spacing w:after="0"/>
              <w:ind w:left="-143"/>
              <w:rPr>
                <w:sz w:val="16"/>
                <w:szCs w:val="16"/>
              </w:rPr>
            </w:pPr>
            <w:r w:rsidRPr="007309A1">
              <w:rPr>
                <w:sz w:val="16"/>
                <w:szCs w:val="16"/>
              </w:rPr>
              <w:t>*</w:t>
            </w:r>
          </w:p>
        </w:tc>
        <w:tc>
          <w:tcPr>
            <w:tcW w:w="538" w:type="pct"/>
            <w:vAlign w:val="center"/>
            <w:hideMark/>
          </w:tcPr>
          <w:p w14:paraId="04A971C1" w14:textId="77777777" w:rsidR="007309A1" w:rsidRPr="007309A1" w:rsidRDefault="007309A1">
            <w:pPr>
              <w:spacing w:after="0"/>
              <w:ind w:right="-71"/>
              <w:jc w:val="right"/>
              <w:rPr>
                <w:sz w:val="16"/>
                <w:szCs w:val="16"/>
              </w:rPr>
            </w:pPr>
            <w:r w:rsidRPr="007309A1">
              <w:rPr>
                <w:sz w:val="16"/>
                <w:szCs w:val="16"/>
              </w:rPr>
              <w:t>0.184</w:t>
            </w:r>
          </w:p>
        </w:tc>
        <w:tc>
          <w:tcPr>
            <w:tcW w:w="375" w:type="pct"/>
          </w:tcPr>
          <w:p w14:paraId="737DA937" w14:textId="77777777" w:rsidR="007309A1" w:rsidRPr="007309A1" w:rsidRDefault="007309A1">
            <w:pPr>
              <w:spacing w:after="0"/>
              <w:rPr>
                <w:sz w:val="16"/>
                <w:szCs w:val="16"/>
              </w:rPr>
            </w:pPr>
          </w:p>
        </w:tc>
        <w:tc>
          <w:tcPr>
            <w:tcW w:w="597" w:type="pct"/>
            <w:vAlign w:val="center"/>
            <w:hideMark/>
          </w:tcPr>
          <w:p w14:paraId="36D19459" w14:textId="77777777" w:rsidR="007309A1" w:rsidRPr="007309A1" w:rsidRDefault="007309A1">
            <w:pPr>
              <w:spacing w:after="0"/>
              <w:jc w:val="right"/>
              <w:rPr>
                <w:color w:val="FF0000"/>
                <w:sz w:val="16"/>
                <w:szCs w:val="16"/>
              </w:rPr>
            </w:pPr>
            <w:r w:rsidRPr="007309A1">
              <w:rPr>
                <w:sz w:val="16"/>
                <w:szCs w:val="16"/>
              </w:rPr>
              <w:t>0.325</w:t>
            </w:r>
          </w:p>
        </w:tc>
        <w:tc>
          <w:tcPr>
            <w:tcW w:w="375" w:type="pct"/>
            <w:hideMark/>
          </w:tcPr>
          <w:p w14:paraId="2134ED6E" w14:textId="77777777" w:rsidR="007309A1" w:rsidRPr="007309A1" w:rsidRDefault="007309A1">
            <w:pPr>
              <w:spacing w:after="0"/>
              <w:rPr>
                <w:color w:val="FF0000"/>
                <w:sz w:val="16"/>
                <w:szCs w:val="16"/>
              </w:rPr>
            </w:pPr>
            <w:r w:rsidRPr="007309A1">
              <w:rPr>
                <w:sz w:val="16"/>
                <w:szCs w:val="16"/>
              </w:rPr>
              <w:t>**</w:t>
            </w:r>
          </w:p>
        </w:tc>
      </w:tr>
      <w:tr w:rsidR="007309A1" w:rsidRPr="007309A1" w14:paraId="322B837F" w14:textId="77777777" w:rsidTr="007309A1">
        <w:trPr>
          <w:jc w:val="center"/>
        </w:trPr>
        <w:tc>
          <w:tcPr>
            <w:tcW w:w="991" w:type="pct"/>
            <w:vAlign w:val="center"/>
            <w:hideMark/>
          </w:tcPr>
          <w:p w14:paraId="44BF8543" w14:textId="77777777" w:rsidR="007309A1" w:rsidRPr="007309A1" w:rsidRDefault="007309A1">
            <w:pPr>
              <w:spacing w:after="0"/>
              <w:rPr>
                <w:sz w:val="16"/>
                <w:szCs w:val="16"/>
              </w:rPr>
            </w:pPr>
            <w:r w:rsidRPr="007309A1">
              <w:rPr>
                <w:sz w:val="16"/>
                <w:szCs w:val="16"/>
              </w:rPr>
              <w:t>ESG*GB</w:t>
            </w:r>
          </w:p>
        </w:tc>
        <w:tc>
          <w:tcPr>
            <w:tcW w:w="412" w:type="pct"/>
            <w:vAlign w:val="center"/>
            <w:hideMark/>
          </w:tcPr>
          <w:p w14:paraId="02682E37" w14:textId="77777777" w:rsidR="007309A1" w:rsidRPr="007309A1" w:rsidRDefault="007309A1">
            <w:pPr>
              <w:spacing w:after="0"/>
              <w:ind w:right="-73"/>
              <w:jc w:val="center"/>
              <w:rPr>
                <w:sz w:val="16"/>
                <w:szCs w:val="16"/>
              </w:rPr>
            </w:pPr>
            <w:r w:rsidRPr="007309A1">
              <w:rPr>
                <w:sz w:val="16"/>
                <w:szCs w:val="16"/>
              </w:rPr>
              <w:t>+</w:t>
            </w:r>
          </w:p>
        </w:tc>
        <w:tc>
          <w:tcPr>
            <w:tcW w:w="538" w:type="pct"/>
            <w:hideMark/>
          </w:tcPr>
          <w:p w14:paraId="71C1A368" w14:textId="77777777" w:rsidR="007309A1" w:rsidRPr="007309A1" w:rsidRDefault="007309A1">
            <w:pPr>
              <w:spacing w:after="0"/>
              <w:ind w:right="-73"/>
              <w:jc w:val="right"/>
              <w:rPr>
                <w:sz w:val="16"/>
                <w:szCs w:val="16"/>
              </w:rPr>
            </w:pPr>
            <w:r w:rsidRPr="007309A1">
              <w:rPr>
                <w:sz w:val="16"/>
                <w:szCs w:val="16"/>
              </w:rPr>
              <w:t>-0.007</w:t>
            </w:r>
          </w:p>
        </w:tc>
        <w:tc>
          <w:tcPr>
            <w:tcW w:w="342" w:type="pct"/>
            <w:vAlign w:val="center"/>
          </w:tcPr>
          <w:p w14:paraId="2CA6CC2A" w14:textId="77777777" w:rsidR="007309A1" w:rsidRPr="007309A1" w:rsidRDefault="007309A1">
            <w:pPr>
              <w:spacing w:after="0"/>
              <w:ind w:left="-90" w:right="-73"/>
              <w:rPr>
                <w:sz w:val="16"/>
                <w:szCs w:val="16"/>
              </w:rPr>
            </w:pPr>
          </w:p>
        </w:tc>
        <w:tc>
          <w:tcPr>
            <w:tcW w:w="538" w:type="pct"/>
            <w:hideMark/>
          </w:tcPr>
          <w:p w14:paraId="15F329B9" w14:textId="77777777" w:rsidR="007309A1" w:rsidRPr="007309A1" w:rsidRDefault="007309A1">
            <w:pPr>
              <w:spacing w:after="0"/>
              <w:ind w:right="-73"/>
              <w:jc w:val="right"/>
              <w:rPr>
                <w:color w:val="FF0000"/>
                <w:sz w:val="16"/>
                <w:szCs w:val="16"/>
              </w:rPr>
            </w:pPr>
            <w:r w:rsidRPr="007309A1">
              <w:rPr>
                <w:sz w:val="16"/>
                <w:szCs w:val="16"/>
              </w:rPr>
              <w:t>0.009</w:t>
            </w:r>
          </w:p>
        </w:tc>
        <w:tc>
          <w:tcPr>
            <w:tcW w:w="293" w:type="pct"/>
            <w:vAlign w:val="center"/>
          </w:tcPr>
          <w:p w14:paraId="2C94561B" w14:textId="77777777" w:rsidR="007309A1" w:rsidRPr="007309A1" w:rsidRDefault="007309A1">
            <w:pPr>
              <w:spacing w:after="0"/>
              <w:ind w:left="-143"/>
              <w:rPr>
                <w:sz w:val="16"/>
                <w:szCs w:val="16"/>
              </w:rPr>
            </w:pPr>
          </w:p>
        </w:tc>
        <w:tc>
          <w:tcPr>
            <w:tcW w:w="538" w:type="pct"/>
            <w:vAlign w:val="center"/>
            <w:hideMark/>
          </w:tcPr>
          <w:p w14:paraId="51B8109D" w14:textId="77777777" w:rsidR="007309A1" w:rsidRPr="007309A1" w:rsidRDefault="007309A1">
            <w:pPr>
              <w:spacing w:after="0"/>
              <w:ind w:right="-71"/>
              <w:jc w:val="right"/>
              <w:rPr>
                <w:sz w:val="16"/>
                <w:szCs w:val="16"/>
              </w:rPr>
            </w:pPr>
            <w:r w:rsidRPr="007309A1">
              <w:rPr>
                <w:sz w:val="16"/>
                <w:szCs w:val="16"/>
              </w:rPr>
              <w:t>0.025</w:t>
            </w:r>
          </w:p>
        </w:tc>
        <w:tc>
          <w:tcPr>
            <w:tcW w:w="375" w:type="pct"/>
          </w:tcPr>
          <w:p w14:paraId="1D6249D4" w14:textId="77777777" w:rsidR="007309A1" w:rsidRPr="007309A1" w:rsidRDefault="007309A1">
            <w:pPr>
              <w:spacing w:after="0"/>
              <w:rPr>
                <w:sz w:val="16"/>
                <w:szCs w:val="16"/>
              </w:rPr>
            </w:pPr>
          </w:p>
        </w:tc>
        <w:tc>
          <w:tcPr>
            <w:tcW w:w="597" w:type="pct"/>
            <w:vAlign w:val="center"/>
            <w:hideMark/>
          </w:tcPr>
          <w:p w14:paraId="5EB707FB" w14:textId="77777777" w:rsidR="007309A1" w:rsidRPr="007309A1" w:rsidRDefault="007309A1">
            <w:pPr>
              <w:spacing w:after="0"/>
              <w:jc w:val="right"/>
              <w:rPr>
                <w:color w:val="FF0000"/>
                <w:sz w:val="16"/>
                <w:szCs w:val="16"/>
              </w:rPr>
            </w:pPr>
            <w:r w:rsidRPr="007309A1">
              <w:rPr>
                <w:sz w:val="16"/>
                <w:szCs w:val="16"/>
              </w:rPr>
              <w:t>0.153</w:t>
            </w:r>
          </w:p>
        </w:tc>
        <w:tc>
          <w:tcPr>
            <w:tcW w:w="375" w:type="pct"/>
          </w:tcPr>
          <w:p w14:paraId="2EBA0A57" w14:textId="77777777" w:rsidR="007309A1" w:rsidRPr="007309A1" w:rsidRDefault="007309A1">
            <w:pPr>
              <w:spacing w:after="0"/>
              <w:rPr>
                <w:color w:val="FF0000"/>
                <w:sz w:val="16"/>
                <w:szCs w:val="16"/>
              </w:rPr>
            </w:pPr>
          </w:p>
        </w:tc>
      </w:tr>
      <w:tr w:rsidR="007309A1" w:rsidRPr="007309A1" w14:paraId="1F3DCA2B" w14:textId="77777777" w:rsidTr="007309A1">
        <w:trPr>
          <w:jc w:val="center"/>
        </w:trPr>
        <w:tc>
          <w:tcPr>
            <w:tcW w:w="991" w:type="pct"/>
            <w:vAlign w:val="center"/>
            <w:hideMark/>
          </w:tcPr>
          <w:p w14:paraId="4A607B73" w14:textId="77777777" w:rsidR="007309A1" w:rsidRPr="007309A1" w:rsidRDefault="007309A1">
            <w:pPr>
              <w:spacing w:after="0"/>
              <w:rPr>
                <w:sz w:val="16"/>
                <w:szCs w:val="16"/>
              </w:rPr>
            </w:pPr>
            <w:r w:rsidRPr="007309A1">
              <w:rPr>
                <w:sz w:val="16"/>
                <w:szCs w:val="16"/>
              </w:rPr>
              <w:t>ESG*GOV</w:t>
            </w:r>
          </w:p>
        </w:tc>
        <w:tc>
          <w:tcPr>
            <w:tcW w:w="412" w:type="pct"/>
            <w:vAlign w:val="center"/>
            <w:hideMark/>
          </w:tcPr>
          <w:p w14:paraId="726CBC39" w14:textId="77777777" w:rsidR="007309A1" w:rsidRPr="007309A1" w:rsidRDefault="007309A1">
            <w:pPr>
              <w:spacing w:after="0"/>
              <w:ind w:right="-73"/>
              <w:jc w:val="center"/>
              <w:rPr>
                <w:sz w:val="16"/>
                <w:szCs w:val="16"/>
              </w:rPr>
            </w:pPr>
            <w:r w:rsidRPr="007309A1">
              <w:rPr>
                <w:sz w:val="16"/>
                <w:szCs w:val="16"/>
              </w:rPr>
              <w:t>+</w:t>
            </w:r>
          </w:p>
        </w:tc>
        <w:tc>
          <w:tcPr>
            <w:tcW w:w="538" w:type="pct"/>
            <w:hideMark/>
          </w:tcPr>
          <w:p w14:paraId="507DC18E" w14:textId="77777777" w:rsidR="007309A1" w:rsidRPr="007309A1" w:rsidRDefault="007309A1">
            <w:pPr>
              <w:spacing w:after="0"/>
              <w:ind w:right="-73"/>
              <w:jc w:val="right"/>
              <w:rPr>
                <w:sz w:val="16"/>
                <w:szCs w:val="16"/>
              </w:rPr>
            </w:pPr>
            <w:r w:rsidRPr="007309A1">
              <w:rPr>
                <w:sz w:val="16"/>
                <w:szCs w:val="16"/>
              </w:rPr>
              <w:t>0.001</w:t>
            </w:r>
          </w:p>
        </w:tc>
        <w:tc>
          <w:tcPr>
            <w:tcW w:w="342" w:type="pct"/>
            <w:vAlign w:val="center"/>
          </w:tcPr>
          <w:p w14:paraId="03773F54" w14:textId="77777777" w:rsidR="007309A1" w:rsidRPr="007309A1" w:rsidRDefault="007309A1">
            <w:pPr>
              <w:spacing w:after="0"/>
              <w:ind w:left="-90" w:right="-73"/>
              <w:rPr>
                <w:sz w:val="16"/>
                <w:szCs w:val="16"/>
              </w:rPr>
            </w:pPr>
          </w:p>
        </w:tc>
        <w:tc>
          <w:tcPr>
            <w:tcW w:w="538" w:type="pct"/>
            <w:hideMark/>
          </w:tcPr>
          <w:p w14:paraId="10C52BB9" w14:textId="77777777" w:rsidR="007309A1" w:rsidRPr="007309A1" w:rsidRDefault="007309A1">
            <w:pPr>
              <w:spacing w:after="0"/>
              <w:ind w:right="-73"/>
              <w:jc w:val="right"/>
              <w:rPr>
                <w:color w:val="FF0000"/>
                <w:sz w:val="16"/>
                <w:szCs w:val="16"/>
              </w:rPr>
            </w:pPr>
            <w:r w:rsidRPr="007309A1">
              <w:rPr>
                <w:sz w:val="16"/>
                <w:szCs w:val="16"/>
              </w:rPr>
              <w:t>-0.021</w:t>
            </w:r>
          </w:p>
        </w:tc>
        <w:tc>
          <w:tcPr>
            <w:tcW w:w="293" w:type="pct"/>
            <w:vAlign w:val="center"/>
            <w:hideMark/>
          </w:tcPr>
          <w:p w14:paraId="772B0024" w14:textId="77777777" w:rsidR="007309A1" w:rsidRPr="007309A1" w:rsidRDefault="007309A1">
            <w:pPr>
              <w:spacing w:after="0"/>
              <w:ind w:left="-143"/>
              <w:rPr>
                <w:sz w:val="16"/>
                <w:szCs w:val="16"/>
              </w:rPr>
            </w:pPr>
            <w:r w:rsidRPr="007309A1">
              <w:rPr>
                <w:sz w:val="16"/>
                <w:szCs w:val="16"/>
              </w:rPr>
              <w:t>*</w:t>
            </w:r>
          </w:p>
        </w:tc>
        <w:tc>
          <w:tcPr>
            <w:tcW w:w="538" w:type="pct"/>
            <w:vAlign w:val="center"/>
            <w:hideMark/>
          </w:tcPr>
          <w:p w14:paraId="47B15E29" w14:textId="77777777" w:rsidR="007309A1" w:rsidRPr="007309A1" w:rsidRDefault="007309A1">
            <w:pPr>
              <w:spacing w:after="0"/>
              <w:ind w:right="-71"/>
              <w:jc w:val="right"/>
              <w:rPr>
                <w:sz w:val="16"/>
                <w:szCs w:val="16"/>
              </w:rPr>
            </w:pPr>
            <w:r w:rsidRPr="007309A1">
              <w:rPr>
                <w:sz w:val="16"/>
                <w:szCs w:val="16"/>
              </w:rPr>
              <w:t>-0.029</w:t>
            </w:r>
          </w:p>
        </w:tc>
        <w:tc>
          <w:tcPr>
            <w:tcW w:w="375" w:type="pct"/>
            <w:hideMark/>
          </w:tcPr>
          <w:p w14:paraId="7A76391C" w14:textId="77777777" w:rsidR="007309A1" w:rsidRPr="007309A1" w:rsidRDefault="007309A1">
            <w:pPr>
              <w:spacing w:after="0"/>
              <w:ind w:left="-55"/>
              <w:rPr>
                <w:sz w:val="16"/>
                <w:szCs w:val="16"/>
              </w:rPr>
            </w:pPr>
            <w:r w:rsidRPr="007309A1">
              <w:rPr>
                <w:sz w:val="16"/>
                <w:szCs w:val="16"/>
              </w:rPr>
              <w:t>**</w:t>
            </w:r>
          </w:p>
        </w:tc>
        <w:tc>
          <w:tcPr>
            <w:tcW w:w="597" w:type="pct"/>
            <w:vAlign w:val="center"/>
            <w:hideMark/>
          </w:tcPr>
          <w:p w14:paraId="2479EECB" w14:textId="77777777" w:rsidR="007309A1" w:rsidRPr="007309A1" w:rsidRDefault="007309A1">
            <w:pPr>
              <w:spacing w:after="0"/>
              <w:ind w:left="-55"/>
              <w:jc w:val="right"/>
              <w:rPr>
                <w:color w:val="FF0000"/>
                <w:sz w:val="16"/>
                <w:szCs w:val="16"/>
              </w:rPr>
            </w:pPr>
            <w:r w:rsidRPr="007309A1">
              <w:rPr>
                <w:sz w:val="16"/>
                <w:szCs w:val="16"/>
              </w:rPr>
              <w:t>-0.051</w:t>
            </w:r>
          </w:p>
        </w:tc>
        <w:tc>
          <w:tcPr>
            <w:tcW w:w="375" w:type="pct"/>
            <w:hideMark/>
          </w:tcPr>
          <w:p w14:paraId="74CAB2E4" w14:textId="77777777" w:rsidR="007309A1" w:rsidRPr="007309A1" w:rsidRDefault="007309A1">
            <w:pPr>
              <w:spacing w:after="0"/>
              <w:ind w:left="-55"/>
              <w:rPr>
                <w:color w:val="FF0000"/>
                <w:sz w:val="16"/>
                <w:szCs w:val="16"/>
              </w:rPr>
            </w:pPr>
            <w:r w:rsidRPr="007309A1">
              <w:rPr>
                <w:sz w:val="16"/>
                <w:szCs w:val="16"/>
              </w:rPr>
              <w:t>**</w:t>
            </w:r>
          </w:p>
        </w:tc>
      </w:tr>
      <w:tr w:rsidR="007309A1" w:rsidRPr="007309A1" w14:paraId="41611884" w14:textId="77777777" w:rsidTr="007309A1">
        <w:trPr>
          <w:jc w:val="center"/>
        </w:trPr>
        <w:tc>
          <w:tcPr>
            <w:tcW w:w="991" w:type="pct"/>
            <w:vAlign w:val="center"/>
            <w:hideMark/>
          </w:tcPr>
          <w:p w14:paraId="2081987C" w14:textId="77777777" w:rsidR="007309A1" w:rsidRPr="007309A1" w:rsidRDefault="007309A1">
            <w:pPr>
              <w:spacing w:after="0"/>
              <w:rPr>
                <w:sz w:val="16"/>
                <w:szCs w:val="16"/>
              </w:rPr>
            </w:pPr>
            <w:proofErr w:type="spellStart"/>
            <w:r w:rsidRPr="007309A1">
              <w:rPr>
                <w:sz w:val="16"/>
                <w:szCs w:val="16"/>
              </w:rPr>
              <w:t>LnSIZE</w:t>
            </w:r>
            <w:proofErr w:type="spellEnd"/>
          </w:p>
        </w:tc>
        <w:tc>
          <w:tcPr>
            <w:tcW w:w="412" w:type="pct"/>
            <w:vAlign w:val="center"/>
            <w:hideMark/>
          </w:tcPr>
          <w:p w14:paraId="26C37DC1" w14:textId="77777777" w:rsidR="007309A1" w:rsidRPr="007309A1" w:rsidRDefault="007309A1">
            <w:pPr>
              <w:spacing w:after="0"/>
              <w:ind w:right="-73"/>
              <w:jc w:val="center"/>
              <w:rPr>
                <w:sz w:val="16"/>
                <w:szCs w:val="16"/>
              </w:rPr>
            </w:pPr>
            <w:r w:rsidRPr="007309A1">
              <w:rPr>
                <w:sz w:val="16"/>
                <w:szCs w:val="16"/>
              </w:rPr>
              <w:t>+/-</w:t>
            </w:r>
          </w:p>
        </w:tc>
        <w:tc>
          <w:tcPr>
            <w:tcW w:w="538" w:type="pct"/>
            <w:hideMark/>
          </w:tcPr>
          <w:p w14:paraId="34BC0B23" w14:textId="77777777" w:rsidR="007309A1" w:rsidRPr="007309A1" w:rsidRDefault="007309A1">
            <w:pPr>
              <w:spacing w:after="0"/>
              <w:ind w:right="-73"/>
              <w:jc w:val="right"/>
              <w:rPr>
                <w:sz w:val="16"/>
                <w:szCs w:val="16"/>
              </w:rPr>
            </w:pPr>
            <w:r w:rsidRPr="007309A1">
              <w:rPr>
                <w:sz w:val="16"/>
                <w:szCs w:val="16"/>
              </w:rPr>
              <w:t>0.003</w:t>
            </w:r>
          </w:p>
        </w:tc>
        <w:tc>
          <w:tcPr>
            <w:tcW w:w="342" w:type="pct"/>
            <w:vAlign w:val="center"/>
            <w:hideMark/>
          </w:tcPr>
          <w:p w14:paraId="2D041622" w14:textId="77777777" w:rsidR="007309A1" w:rsidRPr="007309A1" w:rsidRDefault="007309A1">
            <w:pPr>
              <w:spacing w:after="0"/>
              <w:ind w:left="-90" w:right="-73"/>
              <w:rPr>
                <w:sz w:val="16"/>
                <w:szCs w:val="16"/>
              </w:rPr>
            </w:pPr>
            <w:r w:rsidRPr="007309A1">
              <w:rPr>
                <w:sz w:val="16"/>
                <w:szCs w:val="16"/>
              </w:rPr>
              <w:t>***</w:t>
            </w:r>
          </w:p>
        </w:tc>
        <w:tc>
          <w:tcPr>
            <w:tcW w:w="538" w:type="pct"/>
            <w:hideMark/>
          </w:tcPr>
          <w:p w14:paraId="10D1D6B8" w14:textId="77777777" w:rsidR="007309A1" w:rsidRPr="007309A1" w:rsidRDefault="007309A1">
            <w:pPr>
              <w:spacing w:after="0"/>
              <w:ind w:right="-73"/>
              <w:jc w:val="right"/>
              <w:rPr>
                <w:color w:val="FF0000"/>
                <w:sz w:val="16"/>
                <w:szCs w:val="16"/>
              </w:rPr>
            </w:pPr>
            <w:r w:rsidRPr="007309A1">
              <w:rPr>
                <w:sz w:val="16"/>
                <w:szCs w:val="16"/>
              </w:rPr>
              <w:t>0.002</w:t>
            </w:r>
          </w:p>
        </w:tc>
        <w:tc>
          <w:tcPr>
            <w:tcW w:w="293" w:type="pct"/>
            <w:vAlign w:val="center"/>
            <w:hideMark/>
          </w:tcPr>
          <w:p w14:paraId="5D270571" w14:textId="77777777" w:rsidR="007309A1" w:rsidRPr="007309A1" w:rsidRDefault="007309A1">
            <w:pPr>
              <w:spacing w:after="0"/>
              <w:ind w:left="-143"/>
              <w:rPr>
                <w:color w:val="FF0000"/>
                <w:sz w:val="16"/>
                <w:szCs w:val="16"/>
              </w:rPr>
            </w:pPr>
            <w:r w:rsidRPr="007309A1">
              <w:rPr>
                <w:sz w:val="16"/>
                <w:szCs w:val="16"/>
              </w:rPr>
              <w:t>**</w:t>
            </w:r>
          </w:p>
        </w:tc>
        <w:tc>
          <w:tcPr>
            <w:tcW w:w="538" w:type="pct"/>
            <w:vAlign w:val="center"/>
            <w:hideMark/>
          </w:tcPr>
          <w:p w14:paraId="3D08AD86" w14:textId="77777777" w:rsidR="007309A1" w:rsidRPr="007309A1" w:rsidRDefault="007309A1">
            <w:pPr>
              <w:spacing w:after="0"/>
              <w:ind w:right="-71"/>
              <w:jc w:val="right"/>
              <w:rPr>
                <w:sz w:val="16"/>
                <w:szCs w:val="16"/>
              </w:rPr>
            </w:pPr>
            <w:r w:rsidRPr="007309A1">
              <w:rPr>
                <w:sz w:val="16"/>
                <w:szCs w:val="16"/>
              </w:rPr>
              <w:t>-0.001</w:t>
            </w:r>
          </w:p>
        </w:tc>
        <w:tc>
          <w:tcPr>
            <w:tcW w:w="375" w:type="pct"/>
          </w:tcPr>
          <w:p w14:paraId="10F5AF9F" w14:textId="77777777" w:rsidR="007309A1" w:rsidRPr="007309A1" w:rsidRDefault="007309A1">
            <w:pPr>
              <w:spacing w:after="0"/>
              <w:ind w:left="-55"/>
              <w:rPr>
                <w:sz w:val="16"/>
                <w:szCs w:val="16"/>
              </w:rPr>
            </w:pPr>
          </w:p>
        </w:tc>
        <w:tc>
          <w:tcPr>
            <w:tcW w:w="597" w:type="pct"/>
            <w:vAlign w:val="center"/>
            <w:hideMark/>
          </w:tcPr>
          <w:p w14:paraId="3C5F143E" w14:textId="77777777" w:rsidR="007309A1" w:rsidRPr="007309A1" w:rsidRDefault="007309A1">
            <w:pPr>
              <w:spacing w:after="0"/>
              <w:ind w:left="-55"/>
              <w:jc w:val="right"/>
              <w:rPr>
                <w:color w:val="FF0000"/>
                <w:sz w:val="16"/>
                <w:szCs w:val="16"/>
              </w:rPr>
            </w:pPr>
            <w:r w:rsidRPr="007309A1">
              <w:rPr>
                <w:sz w:val="16"/>
                <w:szCs w:val="16"/>
              </w:rPr>
              <w:t>-0.002</w:t>
            </w:r>
          </w:p>
        </w:tc>
        <w:tc>
          <w:tcPr>
            <w:tcW w:w="375" w:type="pct"/>
          </w:tcPr>
          <w:p w14:paraId="2698722E" w14:textId="77777777" w:rsidR="007309A1" w:rsidRPr="007309A1" w:rsidRDefault="007309A1">
            <w:pPr>
              <w:spacing w:after="0"/>
              <w:ind w:left="-55"/>
              <w:rPr>
                <w:color w:val="FF0000"/>
                <w:sz w:val="16"/>
                <w:szCs w:val="16"/>
              </w:rPr>
            </w:pPr>
          </w:p>
        </w:tc>
      </w:tr>
      <w:tr w:rsidR="007309A1" w:rsidRPr="007309A1" w14:paraId="54D1DCD5" w14:textId="77777777" w:rsidTr="007309A1">
        <w:trPr>
          <w:jc w:val="center"/>
        </w:trPr>
        <w:tc>
          <w:tcPr>
            <w:tcW w:w="991" w:type="pct"/>
            <w:vAlign w:val="center"/>
            <w:hideMark/>
          </w:tcPr>
          <w:p w14:paraId="44F65692" w14:textId="77777777" w:rsidR="007309A1" w:rsidRPr="007309A1" w:rsidRDefault="007309A1">
            <w:pPr>
              <w:spacing w:after="0"/>
              <w:rPr>
                <w:sz w:val="16"/>
                <w:szCs w:val="16"/>
              </w:rPr>
            </w:pPr>
            <w:r w:rsidRPr="007309A1">
              <w:rPr>
                <w:sz w:val="16"/>
                <w:szCs w:val="16"/>
              </w:rPr>
              <w:t>LEV</w:t>
            </w:r>
          </w:p>
        </w:tc>
        <w:tc>
          <w:tcPr>
            <w:tcW w:w="412" w:type="pct"/>
            <w:vAlign w:val="center"/>
            <w:hideMark/>
          </w:tcPr>
          <w:p w14:paraId="3963F7FB" w14:textId="77777777" w:rsidR="007309A1" w:rsidRPr="007309A1" w:rsidRDefault="007309A1">
            <w:pPr>
              <w:spacing w:after="0"/>
              <w:ind w:right="-73"/>
              <w:jc w:val="center"/>
              <w:rPr>
                <w:sz w:val="16"/>
                <w:szCs w:val="16"/>
              </w:rPr>
            </w:pPr>
            <w:r w:rsidRPr="007309A1">
              <w:rPr>
                <w:sz w:val="16"/>
                <w:szCs w:val="16"/>
              </w:rPr>
              <w:t>+/-</w:t>
            </w:r>
          </w:p>
        </w:tc>
        <w:tc>
          <w:tcPr>
            <w:tcW w:w="538" w:type="pct"/>
            <w:hideMark/>
          </w:tcPr>
          <w:p w14:paraId="4B2D22F6" w14:textId="77777777" w:rsidR="007309A1" w:rsidRPr="007309A1" w:rsidRDefault="007309A1">
            <w:pPr>
              <w:spacing w:after="0"/>
              <w:ind w:right="-73"/>
              <w:jc w:val="right"/>
              <w:rPr>
                <w:sz w:val="16"/>
                <w:szCs w:val="16"/>
              </w:rPr>
            </w:pPr>
            <w:r w:rsidRPr="007309A1">
              <w:rPr>
                <w:sz w:val="16"/>
                <w:szCs w:val="16"/>
              </w:rPr>
              <w:t>-0.039</w:t>
            </w:r>
          </w:p>
        </w:tc>
        <w:tc>
          <w:tcPr>
            <w:tcW w:w="342" w:type="pct"/>
            <w:vAlign w:val="center"/>
            <w:hideMark/>
          </w:tcPr>
          <w:p w14:paraId="1DA31BD9" w14:textId="77777777" w:rsidR="007309A1" w:rsidRPr="007309A1" w:rsidRDefault="007309A1">
            <w:pPr>
              <w:spacing w:after="0"/>
              <w:ind w:left="-90" w:right="-73"/>
              <w:rPr>
                <w:sz w:val="16"/>
                <w:szCs w:val="16"/>
              </w:rPr>
            </w:pPr>
            <w:r w:rsidRPr="007309A1">
              <w:rPr>
                <w:sz w:val="16"/>
                <w:szCs w:val="16"/>
              </w:rPr>
              <w:t>***</w:t>
            </w:r>
          </w:p>
        </w:tc>
        <w:tc>
          <w:tcPr>
            <w:tcW w:w="538" w:type="pct"/>
            <w:hideMark/>
          </w:tcPr>
          <w:p w14:paraId="15701D90" w14:textId="77777777" w:rsidR="007309A1" w:rsidRPr="007309A1" w:rsidRDefault="007309A1">
            <w:pPr>
              <w:spacing w:after="0"/>
              <w:ind w:right="-73"/>
              <w:jc w:val="right"/>
              <w:rPr>
                <w:color w:val="FF0000"/>
                <w:sz w:val="16"/>
                <w:szCs w:val="16"/>
              </w:rPr>
            </w:pPr>
            <w:r w:rsidRPr="007309A1">
              <w:rPr>
                <w:sz w:val="16"/>
                <w:szCs w:val="16"/>
              </w:rPr>
              <w:t>-0.044</w:t>
            </w:r>
          </w:p>
        </w:tc>
        <w:tc>
          <w:tcPr>
            <w:tcW w:w="293" w:type="pct"/>
            <w:vAlign w:val="center"/>
            <w:hideMark/>
          </w:tcPr>
          <w:p w14:paraId="092AECF7" w14:textId="77777777" w:rsidR="007309A1" w:rsidRPr="007309A1" w:rsidRDefault="007309A1">
            <w:pPr>
              <w:spacing w:after="0"/>
              <w:ind w:left="-143"/>
              <w:rPr>
                <w:color w:val="FF0000"/>
                <w:sz w:val="16"/>
                <w:szCs w:val="16"/>
              </w:rPr>
            </w:pPr>
            <w:r w:rsidRPr="007309A1">
              <w:rPr>
                <w:sz w:val="16"/>
                <w:szCs w:val="16"/>
              </w:rPr>
              <w:t>***</w:t>
            </w:r>
          </w:p>
        </w:tc>
        <w:tc>
          <w:tcPr>
            <w:tcW w:w="538" w:type="pct"/>
            <w:vAlign w:val="center"/>
            <w:hideMark/>
          </w:tcPr>
          <w:p w14:paraId="4ED1766D" w14:textId="77777777" w:rsidR="007309A1" w:rsidRPr="007309A1" w:rsidRDefault="007309A1">
            <w:pPr>
              <w:spacing w:after="0"/>
              <w:ind w:right="-71"/>
              <w:jc w:val="right"/>
              <w:rPr>
                <w:sz w:val="16"/>
                <w:szCs w:val="16"/>
              </w:rPr>
            </w:pPr>
            <w:r w:rsidRPr="007309A1">
              <w:rPr>
                <w:sz w:val="16"/>
                <w:szCs w:val="16"/>
              </w:rPr>
              <w:t>-0.004</w:t>
            </w:r>
          </w:p>
        </w:tc>
        <w:tc>
          <w:tcPr>
            <w:tcW w:w="375" w:type="pct"/>
          </w:tcPr>
          <w:p w14:paraId="54B9245D" w14:textId="77777777" w:rsidR="007309A1" w:rsidRPr="007309A1" w:rsidRDefault="007309A1">
            <w:pPr>
              <w:spacing w:after="0"/>
              <w:ind w:left="-55"/>
              <w:rPr>
                <w:sz w:val="16"/>
                <w:szCs w:val="16"/>
              </w:rPr>
            </w:pPr>
          </w:p>
        </w:tc>
        <w:tc>
          <w:tcPr>
            <w:tcW w:w="597" w:type="pct"/>
            <w:vAlign w:val="center"/>
            <w:hideMark/>
          </w:tcPr>
          <w:p w14:paraId="5DB4EBC9" w14:textId="77777777" w:rsidR="007309A1" w:rsidRPr="007309A1" w:rsidRDefault="007309A1">
            <w:pPr>
              <w:spacing w:after="0"/>
              <w:ind w:left="-55"/>
              <w:jc w:val="right"/>
              <w:rPr>
                <w:color w:val="FF0000"/>
                <w:sz w:val="16"/>
                <w:szCs w:val="16"/>
              </w:rPr>
            </w:pPr>
            <w:r w:rsidRPr="007309A1">
              <w:rPr>
                <w:sz w:val="16"/>
                <w:szCs w:val="16"/>
              </w:rPr>
              <w:t>-0.038</w:t>
            </w:r>
          </w:p>
        </w:tc>
        <w:tc>
          <w:tcPr>
            <w:tcW w:w="375" w:type="pct"/>
            <w:hideMark/>
          </w:tcPr>
          <w:p w14:paraId="00C65C5C" w14:textId="77777777" w:rsidR="007309A1" w:rsidRPr="007309A1" w:rsidRDefault="007309A1">
            <w:pPr>
              <w:spacing w:after="0"/>
              <w:ind w:left="-55"/>
              <w:rPr>
                <w:color w:val="FF0000"/>
                <w:sz w:val="16"/>
                <w:szCs w:val="16"/>
              </w:rPr>
            </w:pPr>
            <w:r w:rsidRPr="007309A1">
              <w:rPr>
                <w:sz w:val="16"/>
                <w:szCs w:val="16"/>
              </w:rPr>
              <w:t>***</w:t>
            </w:r>
          </w:p>
        </w:tc>
      </w:tr>
      <w:tr w:rsidR="007309A1" w:rsidRPr="007309A1" w14:paraId="40C64916" w14:textId="77777777" w:rsidTr="007309A1">
        <w:trPr>
          <w:jc w:val="center"/>
        </w:trPr>
        <w:tc>
          <w:tcPr>
            <w:tcW w:w="991" w:type="pct"/>
            <w:vAlign w:val="center"/>
            <w:hideMark/>
          </w:tcPr>
          <w:p w14:paraId="1211C60D" w14:textId="77777777" w:rsidR="007309A1" w:rsidRPr="007309A1" w:rsidRDefault="007309A1">
            <w:pPr>
              <w:spacing w:after="0"/>
              <w:rPr>
                <w:sz w:val="16"/>
                <w:szCs w:val="16"/>
              </w:rPr>
            </w:pPr>
            <w:r w:rsidRPr="007309A1">
              <w:rPr>
                <w:sz w:val="16"/>
                <w:szCs w:val="16"/>
              </w:rPr>
              <w:t>IND</w:t>
            </w:r>
          </w:p>
        </w:tc>
        <w:tc>
          <w:tcPr>
            <w:tcW w:w="412" w:type="pct"/>
            <w:vAlign w:val="center"/>
            <w:hideMark/>
          </w:tcPr>
          <w:p w14:paraId="4EE7AA87" w14:textId="77777777" w:rsidR="007309A1" w:rsidRPr="007309A1" w:rsidRDefault="007309A1">
            <w:pPr>
              <w:spacing w:after="0"/>
              <w:ind w:right="-73"/>
              <w:jc w:val="center"/>
              <w:rPr>
                <w:sz w:val="16"/>
                <w:szCs w:val="16"/>
              </w:rPr>
            </w:pPr>
            <w:r w:rsidRPr="007309A1">
              <w:rPr>
                <w:sz w:val="16"/>
                <w:szCs w:val="16"/>
              </w:rPr>
              <w:t>+/-</w:t>
            </w:r>
          </w:p>
        </w:tc>
        <w:tc>
          <w:tcPr>
            <w:tcW w:w="538" w:type="pct"/>
            <w:hideMark/>
          </w:tcPr>
          <w:p w14:paraId="2885D3A9" w14:textId="77777777" w:rsidR="007309A1" w:rsidRPr="007309A1" w:rsidRDefault="007309A1">
            <w:pPr>
              <w:spacing w:after="0"/>
              <w:ind w:right="-73"/>
              <w:jc w:val="right"/>
              <w:rPr>
                <w:sz w:val="16"/>
                <w:szCs w:val="16"/>
              </w:rPr>
            </w:pPr>
            <w:r w:rsidRPr="007309A1">
              <w:rPr>
                <w:sz w:val="16"/>
                <w:szCs w:val="16"/>
              </w:rPr>
              <w:t>-0.024</w:t>
            </w:r>
          </w:p>
        </w:tc>
        <w:tc>
          <w:tcPr>
            <w:tcW w:w="342" w:type="pct"/>
            <w:vAlign w:val="center"/>
            <w:hideMark/>
          </w:tcPr>
          <w:p w14:paraId="3115D356" w14:textId="77777777" w:rsidR="007309A1" w:rsidRPr="007309A1" w:rsidRDefault="007309A1">
            <w:pPr>
              <w:spacing w:after="0"/>
              <w:ind w:left="-90" w:right="-73"/>
              <w:rPr>
                <w:sz w:val="16"/>
                <w:szCs w:val="16"/>
              </w:rPr>
            </w:pPr>
            <w:r w:rsidRPr="007309A1">
              <w:rPr>
                <w:sz w:val="16"/>
                <w:szCs w:val="16"/>
              </w:rPr>
              <w:t>***</w:t>
            </w:r>
          </w:p>
        </w:tc>
        <w:tc>
          <w:tcPr>
            <w:tcW w:w="538" w:type="pct"/>
            <w:hideMark/>
          </w:tcPr>
          <w:p w14:paraId="2D595506" w14:textId="77777777" w:rsidR="007309A1" w:rsidRPr="007309A1" w:rsidRDefault="007309A1">
            <w:pPr>
              <w:spacing w:after="0"/>
              <w:ind w:right="-73"/>
              <w:jc w:val="right"/>
              <w:rPr>
                <w:color w:val="FF0000"/>
                <w:sz w:val="16"/>
                <w:szCs w:val="16"/>
              </w:rPr>
            </w:pPr>
            <w:r w:rsidRPr="007309A1">
              <w:rPr>
                <w:sz w:val="16"/>
                <w:szCs w:val="16"/>
              </w:rPr>
              <w:t>-0.023</w:t>
            </w:r>
          </w:p>
        </w:tc>
        <w:tc>
          <w:tcPr>
            <w:tcW w:w="293" w:type="pct"/>
            <w:vAlign w:val="center"/>
            <w:hideMark/>
          </w:tcPr>
          <w:p w14:paraId="571F854B" w14:textId="77777777" w:rsidR="007309A1" w:rsidRPr="007309A1" w:rsidRDefault="007309A1">
            <w:pPr>
              <w:spacing w:after="0"/>
              <w:ind w:left="-143"/>
              <w:rPr>
                <w:color w:val="FF0000"/>
                <w:sz w:val="16"/>
                <w:szCs w:val="16"/>
              </w:rPr>
            </w:pPr>
            <w:r w:rsidRPr="007309A1">
              <w:rPr>
                <w:sz w:val="16"/>
                <w:szCs w:val="16"/>
              </w:rPr>
              <w:t>***</w:t>
            </w:r>
          </w:p>
        </w:tc>
        <w:tc>
          <w:tcPr>
            <w:tcW w:w="538" w:type="pct"/>
            <w:vAlign w:val="center"/>
            <w:hideMark/>
          </w:tcPr>
          <w:p w14:paraId="6F497E56" w14:textId="77777777" w:rsidR="007309A1" w:rsidRPr="007309A1" w:rsidRDefault="007309A1">
            <w:pPr>
              <w:spacing w:after="0"/>
              <w:ind w:right="-71"/>
              <w:jc w:val="right"/>
              <w:rPr>
                <w:sz w:val="16"/>
                <w:szCs w:val="16"/>
              </w:rPr>
            </w:pPr>
            <w:r w:rsidRPr="007309A1">
              <w:rPr>
                <w:sz w:val="16"/>
                <w:szCs w:val="16"/>
              </w:rPr>
              <w:t>0.037</w:t>
            </w:r>
          </w:p>
        </w:tc>
        <w:tc>
          <w:tcPr>
            <w:tcW w:w="375" w:type="pct"/>
            <w:hideMark/>
          </w:tcPr>
          <w:p w14:paraId="71809F40" w14:textId="77777777" w:rsidR="007309A1" w:rsidRPr="007309A1" w:rsidRDefault="007309A1">
            <w:pPr>
              <w:spacing w:after="0"/>
              <w:ind w:left="-55"/>
              <w:rPr>
                <w:sz w:val="16"/>
                <w:szCs w:val="16"/>
              </w:rPr>
            </w:pPr>
            <w:r w:rsidRPr="007309A1">
              <w:rPr>
                <w:sz w:val="16"/>
                <w:szCs w:val="16"/>
              </w:rPr>
              <w:t>***</w:t>
            </w:r>
          </w:p>
        </w:tc>
        <w:tc>
          <w:tcPr>
            <w:tcW w:w="597" w:type="pct"/>
            <w:vAlign w:val="center"/>
            <w:hideMark/>
          </w:tcPr>
          <w:p w14:paraId="6E6A5DBF" w14:textId="77777777" w:rsidR="007309A1" w:rsidRPr="007309A1" w:rsidRDefault="007309A1">
            <w:pPr>
              <w:spacing w:after="0"/>
              <w:ind w:left="-55"/>
              <w:jc w:val="right"/>
              <w:rPr>
                <w:color w:val="FF0000"/>
                <w:sz w:val="16"/>
                <w:szCs w:val="16"/>
              </w:rPr>
            </w:pPr>
            <w:r w:rsidRPr="007309A1">
              <w:rPr>
                <w:sz w:val="16"/>
                <w:szCs w:val="16"/>
              </w:rPr>
              <w:t>0.031</w:t>
            </w:r>
          </w:p>
        </w:tc>
        <w:tc>
          <w:tcPr>
            <w:tcW w:w="375" w:type="pct"/>
            <w:hideMark/>
          </w:tcPr>
          <w:p w14:paraId="019B6034" w14:textId="77777777" w:rsidR="007309A1" w:rsidRPr="007309A1" w:rsidRDefault="007309A1">
            <w:pPr>
              <w:spacing w:after="0"/>
              <w:ind w:left="-55"/>
              <w:rPr>
                <w:color w:val="FF0000"/>
                <w:sz w:val="16"/>
                <w:szCs w:val="16"/>
              </w:rPr>
            </w:pPr>
            <w:r w:rsidRPr="007309A1">
              <w:rPr>
                <w:sz w:val="16"/>
                <w:szCs w:val="16"/>
              </w:rPr>
              <w:t>***</w:t>
            </w:r>
          </w:p>
        </w:tc>
      </w:tr>
      <w:tr w:rsidR="007309A1" w:rsidRPr="007309A1" w14:paraId="292D8FB9" w14:textId="77777777" w:rsidTr="007309A1">
        <w:trPr>
          <w:jc w:val="center"/>
        </w:trPr>
        <w:tc>
          <w:tcPr>
            <w:tcW w:w="991" w:type="pct"/>
            <w:vAlign w:val="center"/>
            <w:hideMark/>
          </w:tcPr>
          <w:p w14:paraId="11EEB28E" w14:textId="77777777" w:rsidR="007309A1" w:rsidRPr="007309A1" w:rsidRDefault="007309A1">
            <w:pPr>
              <w:spacing w:after="0"/>
              <w:rPr>
                <w:sz w:val="16"/>
                <w:szCs w:val="16"/>
              </w:rPr>
            </w:pPr>
            <w:proofErr w:type="spellStart"/>
            <w:r w:rsidRPr="007309A1">
              <w:rPr>
                <w:sz w:val="16"/>
                <w:szCs w:val="16"/>
              </w:rPr>
              <w:t>lnGDPG</w:t>
            </w:r>
            <w:proofErr w:type="spellEnd"/>
            <w:r w:rsidRPr="007309A1">
              <w:rPr>
                <w:sz w:val="16"/>
                <w:szCs w:val="16"/>
              </w:rPr>
              <w:t xml:space="preserve"> </w:t>
            </w:r>
          </w:p>
        </w:tc>
        <w:tc>
          <w:tcPr>
            <w:tcW w:w="412" w:type="pct"/>
            <w:vAlign w:val="center"/>
            <w:hideMark/>
          </w:tcPr>
          <w:p w14:paraId="0D449D33" w14:textId="77777777" w:rsidR="007309A1" w:rsidRPr="007309A1" w:rsidRDefault="007309A1">
            <w:pPr>
              <w:spacing w:after="0"/>
              <w:ind w:right="-73"/>
              <w:jc w:val="center"/>
              <w:rPr>
                <w:sz w:val="16"/>
                <w:szCs w:val="16"/>
              </w:rPr>
            </w:pPr>
            <w:r w:rsidRPr="007309A1">
              <w:rPr>
                <w:sz w:val="16"/>
                <w:szCs w:val="16"/>
              </w:rPr>
              <w:t>+/-</w:t>
            </w:r>
          </w:p>
        </w:tc>
        <w:tc>
          <w:tcPr>
            <w:tcW w:w="538" w:type="pct"/>
            <w:hideMark/>
          </w:tcPr>
          <w:p w14:paraId="1C4F5611" w14:textId="77777777" w:rsidR="007309A1" w:rsidRPr="007309A1" w:rsidRDefault="007309A1">
            <w:pPr>
              <w:spacing w:after="0"/>
              <w:ind w:right="-73"/>
              <w:jc w:val="right"/>
              <w:rPr>
                <w:sz w:val="16"/>
                <w:szCs w:val="16"/>
              </w:rPr>
            </w:pPr>
            <w:r w:rsidRPr="007309A1">
              <w:rPr>
                <w:sz w:val="16"/>
                <w:szCs w:val="16"/>
              </w:rPr>
              <w:t>-0.017</w:t>
            </w:r>
          </w:p>
        </w:tc>
        <w:tc>
          <w:tcPr>
            <w:tcW w:w="342" w:type="pct"/>
            <w:vAlign w:val="center"/>
            <w:hideMark/>
          </w:tcPr>
          <w:p w14:paraId="2AA587EB" w14:textId="77777777" w:rsidR="007309A1" w:rsidRPr="007309A1" w:rsidRDefault="007309A1">
            <w:pPr>
              <w:spacing w:after="0"/>
              <w:ind w:left="-90" w:right="-73"/>
              <w:rPr>
                <w:sz w:val="16"/>
                <w:szCs w:val="16"/>
              </w:rPr>
            </w:pPr>
            <w:r w:rsidRPr="007309A1">
              <w:rPr>
                <w:sz w:val="16"/>
                <w:szCs w:val="16"/>
              </w:rPr>
              <w:t>***</w:t>
            </w:r>
          </w:p>
        </w:tc>
        <w:tc>
          <w:tcPr>
            <w:tcW w:w="538" w:type="pct"/>
            <w:hideMark/>
          </w:tcPr>
          <w:p w14:paraId="2B5C0FA0" w14:textId="77777777" w:rsidR="007309A1" w:rsidRPr="007309A1" w:rsidRDefault="007309A1">
            <w:pPr>
              <w:spacing w:after="0"/>
              <w:ind w:right="-73"/>
              <w:jc w:val="right"/>
              <w:rPr>
                <w:color w:val="FF0000"/>
                <w:sz w:val="16"/>
                <w:szCs w:val="16"/>
              </w:rPr>
            </w:pPr>
            <w:r w:rsidRPr="007309A1">
              <w:rPr>
                <w:sz w:val="16"/>
                <w:szCs w:val="16"/>
              </w:rPr>
              <w:t>-0.044</w:t>
            </w:r>
          </w:p>
        </w:tc>
        <w:tc>
          <w:tcPr>
            <w:tcW w:w="293" w:type="pct"/>
            <w:vAlign w:val="center"/>
            <w:hideMark/>
          </w:tcPr>
          <w:p w14:paraId="05D02B05" w14:textId="77777777" w:rsidR="007309A1" w:rsidRPr="007309A1" w:rsidRDefault="007309A1">
            <w:pPr>
              <w:spacing w:after="0"/>
              <w:ind w:left="-143"/>
              <w:rPr>
                <w:color w:val="FF0000"/>
                <w:sz w:val="16"/>
                <w:szCs w:val="16"/>
              </w:rPr>
            </w:pPr>
            <w:r w:rsidRPr="007309A1">
              <w:rPr>
                <w:sz w:val="16"/>
                <w:szCs w:val="16"/>
              </w:rPr>
              <w:t>***</w:t>
            </w:r>
          </w:p>
        </w:tc>
        <w:tc>
          <w:tcPr>
            <w:tcW w:w="538" w:type="pct"/>
            <w:vAlign w:val="center"/>
            <w:hideMark/>
          </w:tcPr>
          <w:p w14:paraId="1E0F13A5" w14:textId="77777777" w:rsidR="007309A1" w:rsidRPr="007309A1" w:rsidRDefault="007309A1">
            <w:pPr>
              <w:spacing w:after="0"/>
              <w:ind w:right="-71"/>
              <w:jc w:val="right"/>
              <w:rPr>
                <w:sz w:val="16"/>
                <w:szCs w:val="16"/>
              </w:rPr>
            </w:pPr>
            <w:r w:rsidRPr="007309A1">
              <w:rPr>
                <w:sz w:val="16"/>
                <w:szCs w:val="16"/>
              </w:rPr>
              <w:t>-0.021</w:t>
            </w:r>
          </w:p>
        </w:tc>
        <w:tc>
          <w:tcPr>
            <w:tcW w:w="375" w:type="pct"/>
            <w:hideMark/>
          </w:tcPr>
          <w:p w14:paraId="43715697" w14:textId="77777777" w:rsidR="007309A1" w:rsidRPr="007309A1" w:rsidRDefault="007309A1">
            <w:pPr>
              <w:spacing w:after="0"/>
              <w:ind w:left="-55"/>
              <w:rPr>
                <w:sz w:val="16"/>
                <w:szCs w:val="16"/>
              </w:rPr>
            </w:pPr>
            <w:r w:rsidRPr="007309A1">
              <w:rPr>
                <w:sz w:val="16"/>
                <w:szCs w:val="16"/>
              </w:rPr>
              <w:t>***</w:t>
            </w:r>
          </w:p>
        </w:tc>
        <w:tc>
          <w:tcPr>
            <w:tcW w:w="597" w:type="pct"/>
            <w:vAlign w:val="center"/>
            <w:hideMark/>
          </w:tcPr>
          <w:p w14:paraId="6E13BACA" w14:textId="77777777" w:rsidR="007309A1" w:rsidRPr="007309A1" w:rsidRDefault="007309A1">
            <w:pPr>
              <w:spacing w:after="0"/>
              <w:ind w:left="-55"/>
              <w:jc w:val="right"/>
              <w:rPr>
                <w:color w:val="FF0000"/>
                <w:sz w:val="16"/>
                <w:szCs w:val="16"/>
              </w:rPr>
            </w:pPr>
            <w:r w:rsidRPr="007309A1">
              <w:rPr>
                <w:sz w:val="16"/>
                <w:szCs w:val="16"/>
              </w:rPr>
              <w:t>-0.033</w:t>
            </w:r>
          </w:p>
        </w:tc>
        <w:tc>
          <w:tcPr>
            <w:tcW w:w="375" w:type="pct"/>
            <w:hideMark/>
          </w:tcPr>
          <w:p w14:paraId="05F1D2B8" w14:textId="77777777" w:rsidR="007309A1" w:rsidRPr="007309A1" w:rsidRDefault="007309A1">
            <w:pPr>
              <w:spacing w:after="0"/>
              <w:ind w:left="-55"/>
              <w:rPr>
                <w:color w:val="FF0000"/>
                <w:sz w:val="16"/>
                <w:szCs w:val="16"/>
              </w:rPr>
            </w:pPr>
            <w:r w:rsidRPr="007309A1">
              <w:rPr>
                <w:sz w:val="16"/>
                <w:szCs w:val="16"/>
              </w:rPr>
              <w:t>**</w:t>
            </w:r>
          </w:p>
        </w:tc>
      </w:tr>
      <w:tr w:rsidR="007309A1" w:rsidRPr="007309A1" w14:paraId="7B4180D9" w14:textId="77777777" w:rsidTr="007309A1">
        <w:trPr>
          <w:jc w:val="center"/>
        </w:trPr>
        <w:tc>
          <w:tcPr>
            <w:tcW w:w="991" w:type="pct"/>
            <w:vAlign w:val="center"/>
            <w:hideMark/>
          </w:tcPr>
          <w:p w14:paraId="53EF6C7F" w14:textId="77777777" w:rsidR="007309A1" w:rsidRPr="007309A1" w:rsidRDefault="007309A1" w:rsidP="007309A1">
            <w:pPr>
              <w:spacing w:after="0"/>
              <w:jc w:val="left"/>
              <w:rPr>
                <w:sz w:val="16"/>
                <w:szCs w:val="16"/>
              </w:rPr>
            </w:pPr>
            <w:r w:rsidRPr="007309A1">
              <w:rPr>
                <w:sz w:val="16"/>
                <w:szCs w:val="16"/>
              </w:rPr>
              <w:t>Adj R-squared</w:t>
            </w:r>
          </w:p>
          <w:p w14:paraId="23221822" w14:textId="77777777" w:rsidR="007309A1" w:rsidRPr="007309A1" w:rsidRDefault="007309A1" w:rsidP="007309A1">
            <w:pPr>
              <w:spacing w:after="0"/>
              <w:jc w:val="left"/>
              <w:rPr>
                <w:sz w:val="16"/>
                <w:szCs w:val="16"/>
              </w:rPr>
            </w:pPr>
            <w:r w:rsidRPr="007309A1">
              <w:rPr>
                <w:sz w:val="16"/>
                <w:szCs w:val="16"/>
              </w:rPr>
              <w:t>F-statistics (p value)</w:t>
            </w:r>
          </w:p>
          <w:p w14:paraId="6E049B94" w14:textId="1E35DDF4" w:rsidR="007309A1" w:rsidRPr="007309A1" w:rsidRDefault="007309A1" w:rsidP="007309A1">
            <w:pPr>
              <w:spacing w:after="0"/>
              <w:jc w:val="left"/>
              <w:rPr>
                <w:sz w:val="16"/>
                <w:szCs w:val="16"/>
              </w:rPr>
            </w:pPr>
            <w:r w:rsidRPr="007309A1">
              <w:rPr>
                <w:sz w:val="16"/>
                <w:szCs w:val="16"/>
              </w:rPr>
              <w:t>Obs</w:t>
            </w:r>
            <w:r>
              <w:rPr>
                <w:sz w:val="16"/>
                <w:szCs w:val="16"/>
              </w:rPr>
              <w:t>.</w:t>
            </w:r>
          </w:p>
        </w:tc>
        <w:tc>
          <w:tcPr>
            <w:tcW w:w="412" w:type="pct"/>
          </w:tcPr>
          <w:p w14:paraId="41D164B1" w14:textId="77777777" w:rsidR="007309A1" w:rsidRPr="007309A1" w:rsidRDefault="007309A1">
            <w:pPr>
              <w:spacing w:after="0"/>
              <w:ind w:right="-56"/>
              <w:jc w:val="right"/>
              <w:rPr>
                <w:sz w:val="16"/>
                <w:szCs w:val="16"/>
              </w:rPr>
            </w:pPr>
          </w:p>
        </w:tc>
        <w:tc>
          <w:tcPr>
            <w:tcW w:w="538" w:type="pct"/>
            <w:vAlign w:val="center"/>
            <w:hideMark/>
          </w:tcPr>
          <w:p w14:paraId="1910B1BF" w14:textId="77777777" w:rsidR="007309A1" w:rsidRPr="007309A1" w:rsidRDefault="007309A1">
            <w:pPr>
              <w:spacing w:after="0"/>
              <w:ind w:right="-56"/>
              <w:jc w:val="right"/>
              <w:rPr>
                <w:sz w:val="16"/>
                <w:szCs w:val="16"/>
              </w:rPr>
            </w:pPr>
            <w:r w:rsidRPr="007309A1">
              <w:rPr>
                <w:sz w:val="16"/>
                <w:szCs w:val="16"/>
              </w:rPr>
              <w:t>0.519</w:t>
            </w:r>
          </w:p>
          <w:p w14:paraId="307F9EE4" w14:textId="77777777" w:rsidR="007309A1" w:rsidRPr="007309A1" w:rsidRDefault="007309A1">
            <w:pPr>
              <w:spacing w:after="0"/>
              <w:ind w:right="-56"/>
              <w:jc w:val="right"/>
              <w:rPr>
                <w:sz w:val="16"/>
                <w:szCs w:val="16"/>
              </w:rPr>
            </w:pPr>
            <w:r w:rsidRPr="007309A1">
              <w:rPr>
                <w:sz w:val="16"/>
                <w:szCs w:val="16"/>
              </w:rPr>
              <w:t>0.000</w:t>
            </w:r>
          </w:p>
          <w:p w14:paraId="2AFF54A4" w14:textId="77777777" w:rsidR="007309A1" w:rsidRPr="007309A1" w:rsidRDefault="007309A1">
            <w:pPr>
              <w:spacing w:after="0"/>
              <w:ind w:right="-56"/>
              <w:jc w:val="right"/>
              <w:rPr>
                <w:sz w:val="16"/>
                <w:szCs w:val="16"/>
              </w:rPr>
            </w:pPr>
            <w:r w:rsidRPr="007309A1">
              <w:rPr>
                <w:sz w:val="16"/>
                <w:szCs w:val="16"/>
              </w:rPr>
              <w:t>231</w:t>
            </w:r>
          </w:p>
        </w:tc>
        <w:tc>
          <w:tcPr>
            <w:tcW w:w="342" w:type="pct"/>
            <w:vAlign w:val="center"/>
          </w:tcPr>
          <w:p w14:paraId="205ED9D1" w14:textId="77777777" w:rsidR="007309A1" w:rsidRPr="007309A1" w:rsidRDefault="007309A1">
            <w:pPr>
              <w:spacing w:after="0"/>
              <w:ind w:right="-56"/>
              <w:jc w:val="right"/>
              <w:rPr>
                <w:sz w:val="16"/>
                <w:szCs w:val="16"/>
              </w:rPr>
            </w:pPr>
          </w:p>
        </w:tc>
        <w:tc>
          <w:tcPr>
            <w:tcW w:w="538" w:type="pct"/>
            <w:vAlign w:val="center"/>
            <w:hideMark/>
          </w:tcPr>
          <w:p w14:paraId="71D6F047" w14:textId="77777777" w:rsidR="007309A1" w:rsidRPr="007309A1" w:rsidRDefault="007309A1">
            <w:pPr>
              <w:spacing w:after="0"/>
              <w:ind w:right="-56"/>
              <w:jc w:val="right"/>
              <w:rPr>
                <w:sz w:val="16"/>
                <w:szCs w:val="16"/>
              </w:rPr>
            </w:pPr>
            <w:r w:rsidRPr="007309A1">
              <w:rPr>
                <w:sz w:val="16"/>
                <w:szCs w:val="16"/>
              </w:rPr>
              <w:t>0.657</w:t>
            </w:r>
          </w:p>
          <w:p w14:paraId="5DCCCD53" w14:textId="77777777" w:rsidR="007309A1" w:rsidRPr="007309A1" w:rsidRDefault="007309A1">
            <w:pPr>
              <w:spacing w:after="0"/>
              <w:ind w:right="-56"/>
              <w:jc w:val="right"/>
              <w:rPr>
                <w:sz w:val="16"/>
                <w:szCs w:val="16"/>
              </w:rPr>
            </w:pPr>
            <w:r w:rsidRPr="007309A1">
              <w:rPr>
                <w:sz w:val="16"/>
                <w:szCs w:val="16"/>
              </w:rPr>
              <w:t>0.000</w:t>
            </w:r>
          </w:p>
          <w:p w14:paraId="14EDDAF9" w14:textId="77777777" w:rsidR="007309A1" w:rsidRPr="007309A1" w:rsidRDefault="007309A1">
            <w:pPr>
              <w:spacing w:after="0"/>
              <w:ind w:right="-56"/>
              <w:jc w:val="right"/>
              <w:rPr>
                <w:sz w:val="16"/>
                <w:szCs w:val="16"/>
              </w:rPr>
            </w:pPr>
            <w:r w:rsidRPr="007309A1">
              <w:rPr>
                <w:sz w:val="16"/>
                <w:szCs w:val="16"/>
              </w:rPr>
              <w:t>154</w:t>
            </w:r>
          </w:p>
        </w:tc>
        <w:tc>
          <w:tcPr>
            <w:tcW w:w="293" w:type="pct"/>
            <w:vAlign w:val="center"/>
          </w:tcPr>
          <w:p w14:paraId="03F63291" w14:textId="77777777" w:rsidR="007309A1" w:rsidRPr="007309A1" w:rsidRDefault="007309A1">
            <w:pPr>
              <w:spacing w:after="0"/>
              <w:ind w:left="-143"/>
              <w:jc w:val="right"/>
              <w:rPr>
                <w:sz w:val="16"/>
                <w:szCs w:val="16"/>
              </w:rPr>
            </w:pPr>
          </w:p>
        </w:tc>
        <w:tc>
          <w:tcPr>
            <w:tcW w:w="538" w:type="pct"/>
            <w:vAlign w:val="center"/>
            <w:hideMark/>
          </w:tcPr>
          <w:p w14:paraId="16FE8952" w14:textId="77777777" w:rsidR="007309A1" w:rsidRPr="007309A1" w:rsidRDefault="007309A1">
            <w:pPr>
              <w:spacing w:after="0"/>
              <w:ind w:right="-56"/>
              <w:jc w:val="right"/>
              <w:rPr>
                <w:sz w:val="16"/>
                <w:szCs w:val="16"/>
              </w:rPr>
            </w:pPr>
            <w:r w:rsidRPr="007309A1">
              <w:rPr>
                <w:sz w:val="16"/>
                <w:szCs w:val="16"/>
              </w:rPr>
              <w:t>0.304</w:t>
            </w:r>
          </w:p>
          <w:p w14:paraId="3DE6BB72" w14:textId="77777777" w:rsidR="007309A1" w:rsidRPr="007309A1" w:rsidRDefault="007309A1">
            <w:pPr>
              <w:spacing w:after="0"/>
              <w:ind w:right="-56"/>
              <w:jc w:val="right"/>
              <w:rPr>
                <w:sz w:val="16"/>
                <w:szCs w:val="16"/>
              </w:rPr>
            </w:pPr>
            <w:r w:rsidRPr="007309A1">
              <w:rPr>
                <w:sz w:val="16"/>
                <w:szCs w:val="16"/>
              </w:rPr>
              <w:t>0.000</w:t>
            </w:r>
          </w:p>
          <w:p w14:paraId="57B1E824" w14:textId="77777777" w:rsidR="007309A1" w:rsidRPr="007309A1" w:rsidRDefault="007309A1">
            <w:pPr>
              <w:spacing w:after="0"/>
              <w:ind w:right="-43"/>
              <w:jc w:val="right"/>
              <w:rPr>
                <w:sz w:val="16"/>
                <w:szCs w:val="16"/>
              </w:rPr>
            </w:pPr>
            <w:r w:rsidRPr="007309A1">
              <w:rPr>
                <w:sz w:val="16"/>
                <w:szCs w:val="16"/>
              </w:rPr>
              <w:t>231</w:t>
            </w:r>
          </w:p>
        </w:tc>
        <w:tc>
          <w:tcPr>
            <w:tcW w:w="375" w:type="pct"/>
            <w:vAlign w:val="center"/>
          </w:tcPr>
          <w:p w14:paraId="5F23A436" w14:textId="77777777" w:rsidR="007309A1" w:rsidRPr="007309A1" w:rsidRDefault="007309A1">
            <w:pPr>
              <w:spacing w:after="0"/>
              <w:ind w:left="-55"/>
              <w:jc w:val="right"/>
              <w:rPr>
                <w:sz w:val="16"/>
                <w:szCs w:val="16"/>
              </w:rPr>
            </w:pPr>
          </w:p>
        </w:tc>
        <w:tc>
          <w:tcPr>
            <w:tcW w:w="597" w:type="pct"/>
            <w:vAlign w:val="center"/>
            <w:hideMark/>
          </w:tcPr>
          <w:p w14:paraId="755FA479" w14:textId="77777777" w:rsidR="007309A1" w:rsidRPr="007309A1" w:rsidRDefault="007309A1">
            <w:pPr>
              <w:spacing w:after="0"/>
              <w:ind w:right="-56"/>
              <w:jc w:val="right"/>
              <w:rPr>
                <w:sz w:val="16"/>
                <w:szCs w:val="16"/>
              </w:rPr>
            </w:pPr>
            <w:r w:rsidRPr="007309A1">
              <w:rPr>
                <w:sz w:val="16"/>
                <w:szCs w:val="16"/>
              </w:rPr>
              <w:t>0.383</w:t>
            </w:r>
          </w:p>
          <w:p w14:paraId="7135B5A2" w14:textId="77777777" w:rsidR="007309A1" w:rsidRPr="007309A1" w:rsidRDefault="007309A1">
            <w:pPr>
              <w:spacing w:after="0"/>
              <w:ind w:right="-56"/>
              <w:jc w:val="right"/>
              <w:rPr>
                <w:sz w:val="16"/>
                <w:szCs w:val="16"/>
              </w:rPr>
            </w:pPr>
            <w:r w:rsidRPr="007309A1">
              <w:rPr>
                <w:sz w:val="16"/>
                <w:szCs w:val="16"/>
              </w:rPr>
              <w:t>0.000</w:t>
            </w:r>
          </w:p>
          <w:p w14:paraId="3485F579" w14:textId="77777777" w:rsidR="007309A1" w:rsidRPr="007309A1" w:rsidRDefault="007309A1">
            <w:pPr>
              <w:spacing w:after="0"/>
              <w:ind w:left="-55"/>
              <w:jc w:val="right"/>
              <w:rPr>
                <w:sz w:val="16"/>
                <w:szCs w:val="16"/>
              </w:rPr>
            </w:pPr>
            <w:r w:rsidRPr="007309A1">
              <w:rPr>
                <w:sz w:val="16"/>
                <w:szCs w:val="16"/>
              </w:rPr>
              <w:t>154</w:t>
            </w:r>
          </w:p>
        </w:tc>
        <w:tc>
          <w:tcPr>
            <w:tcW w:w="375" w:type="pct"/>
          </w:tcPr>
          <w:p w14:paraId="1226F2E9" w14:textId="77777777" w:rsidR="007309A1" w:rsidRPr="007309A1" w:rsidRDefault="007309A1">
            <w:pPr>
              <w:spacing w:after="0"/>
              <w:ind w:left="-55"/>
              <w:rPr>
                <w:sz w:val="16"/>
                <w:szCs w:val="16"/>
              </w:rPr>
            </w:pPr>
          </w:p>
        </w:tc>
      </w:tr>
    </w:tbl>
    <w:p w14:paraId="046879C0" w14:textId="77777777" w:rsidR="007309A1" w:rsidRPr="007309A1" w:rsidRDefault="007309A1" w:rsidP="007309A1">
      <w:pPr>
        <w:pStyle w:val="BodyTextIndent"/>
        <w:ind w:firstLine="0"/>
        <w:jc w:val="center"/>
        <w:rPr>
          <w:b/>
          <w:bCs/>
        </w:rPr>
      </w:pPr>
    </w:p>
    <w:p w14:paraId="0DA54574" w14:textId="77777777" w:rsidR="00EC3E10" w:rsidRPr="00EC3E10" w:rsidRDefault="00EC3E10" w:rsidP="00EC3E10">
      <w:pPr>
        <w:pStyle w:val="BodyTextIndent"/>
        <w:ind w:firstLine="0"/>
      </w:pPr>
      <w:r w:rsidRPr="00EC3E10">
        <w:t>Notes:</w:t>
      </w:r>
    </w:p>
    <w:p w14:paraId="1866336F" w14:textId="77777777" w:rsidR="00EC3E10" w:rsidRPr="00EC3E10" w:rsidRDefault="00EC3E10" w:rsidP="00EC3E10">
      <w:pPr>
        <w:pStyle w:val="BodyTextIndent"/>
        <w:ind w:firstLine="0"/>
      </w:pPr>
      <w:r w:rsidRPr="00EC3E10">
        <w:t>ROA = Return on Assets, RET = Stock Return, ESG = environmental, social, and governance, GB = dummy - green bond, GOV = percentage of government owned (SOE), SIZE = Total Assets, LEV = total debt / total assets, GDPG = GDP growth, IND = dummy industry.</w:t>
      </w:r>
    </w:p>
    <w:p w14:paraId="23CFD6F5" w14:textId="77777777" w:rsidR="00EC3E10" w:rsidRPr="00EC3E10" w:rsidRDefault="00EC3E10" w:rsidP="00EC3E10">
      <w:pPr>
        <w:pStyle w:val="BodyTextIndent"/>
        <w:ind w:firstLine="0"/>
      </w:pPr>
      <w:r w:rsidRPr="00EC3E10">
        <w:t>Standard error *, **, *** shows the significance at 10%, 5% dan 1%;</w:t>
      </w:r>
    </w:p>
    <w:p w14:paraId="7776403B" w14:textId="77777777" w:rsidR="00EC3E10" w:rsidRPr="00EC3E10" w:rsidRDefault="00EC3E10" w:rsidP="00EC3E10">
      <w:pPr>
        <w:pStyle w:val="BodyTextIndent"/>
        <w:ind w:firstLine="0"/>
      </w:pPr>
      <w:r w:rsidRPr="00EC3E10">
        <w:t>Sources: author’ s calculation.</w:t>
      </w:r>
    </w:p>
    <w:p w14:paraId="0E8AFF5D" w14:textId="77777777" w:rsidR="00EC3E10" w:rsidRPr="00EC3E10" w:rsidRDefault="00EC3E10" w:rsidP="00EC3E10">
      <w:pPr>
        <w:pStyle w:val="BodyTextIndent"/>
      </w:pPr>
    </w:p>
    <w:p w14:paraId="057343DE" w14:textId="77777777" w:rsidR="00EC3E10" w:rsidRPr="00EC3E10" w:rsidRDefault="00EC3E10" w:rsidP="00EC3E10">
      <w:pPr>
        <w:pStyle w:val="BodyTextIndent"/>
      </w:pPr>
    </w:p>
    <w:p w14:paraId="31FF4E27" w14:textId="4CB6F63F" w:rsidR="00EC3E10" w:rsidRPr="00EC3E10" w:rsidRDefault="00EC3E10" w:rsidP="00EC3E10">
      <w:pPr>
        <w:pStyle w:val="BodyTextIndent"/>
        <w:ind w:firstLine="0"/>
        <w:rPr>
          <w:b/>
          <w:bCs/>
          <w:sz w:val="24"/>
          <w:szCs w:val="24"/>
        </w:rPr>
      </w:pPr>
      <w:r w:rsidRPr="00EC3E10">
        <w:rPr>
          <w:b/>
          <w:bCs/>
          <w:sz w:val="24"/>
          <w:szCs w:val="24"/>
        </w:rPr>
        <w:t xml:space="preserve">5. </w:t>
      </w:r>
      <w:r>
        <w:rPr>
          <w:b/>
          <w:bCs/>
          <w:sz w:val="24"/>
          <w:szCs w:val="24"/>
        </w:rPr>
        <w:t xml:space="preserve">  </w:t>
      </w:r>
      <w:r w:rsidRPr="00EC3E10">
        <w:rPr>
          <w:b/>
          <w:bCs/>
          <w:sz w:val="24"/>
          <w:szCs w:val="24"/>
        </w:rPr>
        <w:t>Conclusions</w:t>
      </w:r>
    </w:p>
    <w:p w14:paraId="2A65F1FB" w14:textId="77777777" w:rsidR="00EC3E10" w:rsidRPr="00EC3E10" w:rsidRDefault="00EC3E10" w:rsidP="00EC3E10">
      <w:pPr>
        <w:pStyle w:val="BodyTextIndent"/>
      </w:pPr>
      <w:r w:rsidRPr="00EC3E10">
        <w:t xml:space="preserve">In this paper, we do a comprehensive dataset covering all listed companies in ASEAN rated by the environmental, social and </w:t>
      </w:r>
      <w:r w:rsidRPr="00EC3E10">
        <w:lastRenderedPageBreak/>
        <w:t>governance (ESG) index. This study, to the best of the researchers' knowledge, is the first empirical analysis covering factors of government ownership and green bond issuers to explain their effect on the association of ESG investment and company performance. Consistent with previous studies, the ESG investment not only plays a role in increasing profitability, but is also valuable for investors. However, the corporate value declines with the increasing level of ownership by the government. These results are robust after removing Singapore samples and the year of 2019. The implication of the results of this study is that ESG investment must be further promoted and supported by the stock market and the government. The company must also give its commitment to continue to do the ESG practices.</w:t>
      </w:r>
    </w:p>
    <w:p w14:paraId="4CE96493" w14:textId="2400EC6C" w:rsidR="00EC3E10" w:rsidRDefault="00EC3E10" w:rsidP="00EC3E10">
      <w:pPr>
        <w:pStyle w:val="BodyTextIndent"/>
        <w:ind w:firstLine="0"/>
        <w:rPr>
          <w:b/>
          <w:bCs/>
        </w:rPr>
      </w:pPr>
      <w:r w:rsidRPr="00EC3E10">
        <w:t xml:space="preserve">This study, however, has limitations so that improvements can be made for subsequent research. First, in measuring investment using an index, issued by MSCI ESG, then it becomes limited to explain ESG investment in detail. For this reason, subsequent research needs to divide ESG investment into three categories, namely environmental performance, social performance, and governance performance (see [1]). Second, this study is also limited in explaining the effects of ESG investment on performance (financial and economic). While company performance can be demonstrated by increasing top-line growth, reducing costs, minimizing regulatory and legal intervention, increasing employee productivity, and focusing investment and capital expenditure ([3]). The measurement of a green bond issuer is also limited only by dummy. The next study can use the MSCI ESG green bond index dataset. Finally, the proxy of company performance is represented by ROA and stock returns. The next study can use other proxies, such as ROE, </w:t>
      </w:r>
      <w:proofErr w:type="spellStart"/>
      <w:r w:rsidRPr="00EC3E10">
        <w:t>Tobins'Q</w:t>
      </w:r>
      <w:proofErr w:type="spellEnd"/>
      <w:r w:rsidRPr="00EC3E10">
        <w:t xml:space="preserve">, </w:t>
      </w:r>
      <w:proofErr w:type="spellStart"/>
      <w:r w:rsidRPr="00EC3E10">
        <w:t>Eearning</w:t>
      </w:r>
      <w:proofErr w:type="spellEnd"/>
      <w:r w:rsidRPr="00EC3E10">
        <w:t xml:space="preserve"> per share (EPS), net income, and others.</w:t>
      </w:r>
    </w:p>
    <w:p w14:paraId="72CB16BA" w14:textId="7433CF15" w:rsidR="00EC3E10" w:rsidRDefault="00EC3E10" w:rsidP="007309A1">
      <w:pPr>
        <w:pStyle w:val="BodyTextIndent"/>
        <w:ind w:firstLine="0"/>
        <w:jc w:val="center"/>
        <w:rPr>
          <w:b/>
          <w:bCs/>
        </w:rPr>
      </w:pPr>
    </w:p>
    <w:p w14:paraId="029C6007" w14:textId="77777777" w:rsidR="00EC3E10" w:rsidRPr="007309A1" w:rsidRDefault="00EC3E10" w:rsidP="007309A1">
      <w:pPr>
        <w:pStyle w:val="BodyTextIndent"/>
        <w:ind w:firstLine="0"/>
        <w:jc w:val="center"/>
        <w:rPr>
          <w:b/>
          <w:bCs/>
        </w:rPr>
      </w:pPr>
    </w:p>
    <w:p w14:paraId="095D16BE" w14:textId="134B1607" w:rsidR="008B197E" w:rsidRDefault="008B197E" w:rsidP="00EC3E10">
      <w:pPr>
        <w:pStyle w:val="Heading1"/>
        <w:numPr>
          <w:ilvl w:val="0"/>
          <w:numId w:val="0"/>
        </w:numPr>
        <w:spacing w:before="120"/>
      </w:pPr>
      <w:r>
        <w:t>REFERENCES</w:t>
      </w:r>
    </w:p>
    <w:p w14:paraId="168D2FF2" w14:textId="3E7CD4CC" w:rsidR="00EC3E10" w:rsidRDefault="00EC3E10" w:rsidP="00EC3E10">
      <w:pPr>
        <w:ind w:left="360" w:hanging="360"/>
        <w:jc w:val="left"/>
      </w:pPr>
      <w:r>
        <w:t xml:space="preserve">[1] </w:t>
      </w:r>
      <w:r w:rsidR="008741CE">
        <w:tab/>
      </w:r>
      <w:proofErr w:type="spellStart"/>
      <w:r>
        <w:t>Maha</w:t>
      </w:r>
      <w:proofErr w:type="spellEnd"/>
      <w:r>
        <w:t xml:space="preserve"> Faisal </w:t>
      </w:r>
      <w:proofErr w:type="spellStart"/>
      <w:r>
        <w:t>Alsayegh</w:t>
      </w:r>
      <w:proofErr w:type="spellEnd"/>
      <w:r>
        <w:t xml:space="preserve"> 1, </w:t>
      </w:r>
      <w:proofErr w:type="spellStart"/>
      <w:r>
        <w:t>Rashidah</w:t>
      </w:r>
      <w:proofErr w:type="spellEnd"/>
      <w:r>
        <w:t xml:space="preserve"> Abdul Rahman </w:t>
      </w:r>
      <w:proofErr w:type="gramStart"/>
      <w:r>
        <w:t>1,*</w:t>
      </w:r>
      <w:proofErr w:type="gramEnd"/>
      <w:r>
        <w:t xml:space="preserve"> and </w:t>
      </w:r>
      <w:proofErr w:type="spellStart"/>
      <w:r>
        <w:t>Saeid</w:t>
      </w:r>
      <w:proofErr w:type="spellEnd"/>
      <w:r>
        <w:t xml:space="preserve"> Homayoun. 2020. Corporate Economic, Environmental, and Social Sustainability Performance Transformation through ESG Disclosure. Sustainability, 12, 1-20. doi:10.3390/su12093910</w:t>
      </w:r>
    </w:p>
    <w:p w14:paraId="41751CAC" w14:textId="55FC6382" w:rsidR="00EC3E10" w:rsidRDefault="00EC3E10" w:rsidP="00EC3E10">
      <w:pPr>
        <w:ind w:left="360" w:hanging="360"/>
        <w:jc w:val="left"/>
      </w:pPr>
      <w:r>
        <w:t xml:space="preserve">[2] </w:t>
      </w:r>
      <w:r w:rsidR="008741CE">
        <w:tab/>
      </w:r>
      <w:proofErr w:type="spellStart"/>
      <w:r>
        <w:t>Maftuchah</w:t>
      </w:r>
      <w:proofErr w:type="spellEnd"/>
      <w:r>
        <w:t xml:space="preserve">, 2018. Corporate ESG Profile on Performance:  Evidence from Indonesian Insurance Industry, </w:t>
      </w:r>
      <w:proofErr w:type="spellStart"/>
      <w:r>
        <w:t>Otoritas</w:t>
      </w:r>
      <w:proofErr w:type="spellEnd"/>
      <w:r>
        <w:t xml:space="preserve"> Jasa </w:t>
      </w:r>
      <w:proofErr w:type="spellStart"/>
      <w:r>
        <w:t>Keuangan</w:t>
      </w:r>
      <w:proofErr w:type="spellEnd"/>
      <w:r>
        <w:t>, 1-26.</w:t>
      </w:r>
    </w:p>
    <w:p w14:paraId="44D9D072" w14:textId="4E82646B" w:rsidR="00EC3E10" w:rsidRDefault="00EC3E10" w:rsidP="00EC3E10">
      <w:pPr>
        <w:ind w:left="360" w:hanging="360"/>
        <w:jc w:val="left"/>
      </w:pPr>
      <w:r>
        <w:t xml:space="preserve">[3] </w:t>
      </w:r>
      <w:r w:rsidR="008741CE">
        <w:tab/>
      </w:r>
      <w:r>
        <w:t>McKinsey. 2019. The ESG premium: New perspectives on value and performance. https://www.mckinsey.com/business-functions/sustainability/our-insights/the-esg-premium-new-perspectives-on-value-and-performance</w:t>
      </w:r>
    </w:p>
    <w:p w14:paraId="731E76B5" w14:textId="7B532FD0" w:rsidR="00EC3E10" w:rsidRDefault="00EC3E10" w:rsidP="00EC3E10">
      <w:pPr>
        <w:ind w:left="360" w:hanging="360"/>
        <w:jc w:val="left"/>
      </w:pPr>
      <w:r>
        <w:t xml:space="preserve">[4] </w:t>
      </w:r>
      <w:r w:rsidR="008741CE">
        <w:tab/>
      </w:r>
      <w:r>
        <w:t xml:space="preserve">Friedman, M. The Social Responsibility of Business is to Increase its Proﬁts Milton Friedman. The New York Times Magazine, 13 September 1970. </w:t>
      </w:r>
    </w:p>
    <w:p w14:paraId="72BD0107" w14:textId="415E41B0" w:rsidR="00EC3E10" w:rsidRDefault="00EC3E10" w:rsidP="00EC3E10">
      <w:pPr>
        <w:ind w:left="360" w:hanging="360"/>
        <w:jc w:val="left"/>
      </w:pPr>
      <w:r>
        <w:t xml:space="preserve">[5] </w:t>
      </w:r>
      <w:r w:rsidR="008741CE">
        <w:tab/>
      </w:r>
      <w:proofErr w:type="spellStart"/>
      <w:r>
        <w:t>Mckinsey</w:t>
      </w:r>
      <w:proofErr w:type="spellEnd"/>
      <w:r>
        <w:t xml:space="preserve">. The Business of Sustainability: Putting It into Practice. 2010. Available online: </w:t>
      </w:r>
      <w:proofErr w:type="gramStart"/>
      <w:r>
        <w:t>https://www.mckinsey.com/~{</w:t>
      </w:r>
      <w:proofErr w:type="gramEnd"/>
      <w:r>
        <w:t xml:space="preserve">}/media/mckinsey/dotcom/client_service/sustainability/pdfs/putting_ it_into_practice.ashx (accessed on 20 December 2018). </w:t>
      </w:r>
    </w:p>
    <w:p w14:paraId="57DD4C5F" w14:textId="4289DECF" w:rsidR="00EC3E10" w:rsidRDefault="00EC3E10" w:rsidP="00EC3E10">
      <w:pPr>
        <w:ind w:left="360" w:hanging="360"/>
        <w:jc w:val="left"/>
      </w:pPr>
      <w:r>
        <w:t>[6]</w:t>
      </w:r>
      <w:r w:rsidR="008741CE">
        <w:tab/>
      </w:r>
      <w:proofErr w:type="gramStart"/>
      <w:r>
        <w:t>Taliento,M.</w:t>
      </w:r>
      <w:proofErr w:type="gramEnd"/>
      <w:r>
        <w:t>;Favino,C.;</w:t>
      </w:r>
      <w:proofErr w:type="spellStart"/>
      <w:r>
        <w:t>Netti,A</w:t>
      </w:r>
      <w:proofErr w:type="spellEnd"/>
      <w:r>
        <w:t>.</w:t>
      </w:r>
      <w:r w:rsidR="008741CE">
        <w:t xml:space="preserve"> </w:t>
      </w:r>
      <w:r>
        <w:t>Impact</w:t>
      </w:r>
      <w:r w:rsidR="008741CE">
        <w:t xml:space="preserve"> </w:t>
      </w:r>
      <w:r>
        <w:t>of</w:t>
      </w:r>
      <w:r w:rsidR="008741CE">
        <w:t xml:space="preserve"> </w:t>
      </w:r>
      <w:r>
        <w:t>Environmental,</w:t>
      </w:r>
      <w:r w:rsidR="008741CE">
        <w:t xml:space="preserve"> </w:t>
      </w:r>
      <w:r>
        <w:t>Social,</w:t>
      </w:r>
      <w:r w:rsidR="008741CE">
        <w:t xml:space="preserve"> </w:t>
      </w:r>
      <w:r>
        <w:t>and</w:t>
      </w:r>
      <w:r w:rsidR="008741CE">
        <w:t xml:space="preserve"> </w:t>
      </w:r>
      <w:r>
        <w:t>Governance</w:t>
      </w:r>
      <w:r w:rsidR="008741CE">
        <w:t xml:space="preserve"> </w:t>
      </w:r>
      <w:r>
        <w:t>Information</w:t>
      </w:r>
      <w:r w:rsidR="008741CE">
        <w:t xml:space="preserve"> </w:t>
      </w:r>
      <w:r>
        <w:t>on</w:t>
      </w:r>
      <w:r w:rsidR="008741CE">
        <w:t xml:space="preserve"> </w:t>
      </w:r>
      <w:r>
        <w:t>Economic Performance: Evidence of a Corporate ‘Sustainability Advantage’ from Europe. Sustainability 2019, 11, 1738. [</w:t>
      </w:r>
      <w:proofErr w:type="spellStart"/>
      <w:r>
        <w:t>CrossRef</w:t>
      </w:r>
      <w:proofErr w:type="spellEnd"/>
      <w:r>
        <w:t>]</w:t>
      </w:r>
    </w:p>
    <w:p w14:paraId="5FC7C8D4" w14:textId="29D8E124" w:rsidR="00EC3E10" w:rsidRDefault="00EC3E10" w:rsidP="0018557B">
      <w:pPr>
        <w:ind w:left="360" w:hanging="360"/>
        <w:jc w:val="left"/>
      </w:pPr>
      <w:r>
        <w:t>[7</w:t>
      </w:r>
      <w:proofErr w:type="gramStart"/>
      <w:r>
        <w:t xml:space="preserve">] </w:t>
      </w:r>
      <w:r w:rsidR="0018557B">
        <w:t xml:space="preserve"> </w:t>
      </w:r>
      <w:r>
        <w:t>Porter</w:t>
      </w:r>
      <w:proofErr w:type="gramEnd"/>
      <w:r>
        <w:t>, Michael E. &amp; Kramer Mark R., (2011, January–February). "The Big Idea: Creating Shared Value, Rethinking Capitalism", Harvard Business Review</w:t>
      </w:r>
    </w:p>
    <w:p w14:paraId="0E705193" w14:textId="0041F03C" w:rsidR="00EC3E10" w:rsidRDefault="0018557B" w:rsidP="0018557B">
      <w:pPr>
        <w:ind w:left="360" w:hanging="360"/>
        <w:jc w:val="left"/>
      </w:pPr>
      <w:r>
        <w:t>[</w:t>
      </w:r>
      <w:r w:rsidR="00EC3E10">
        <w:t>8</w:t>
      </w:r>
      <w:proofErr w:type="gramStart"/>
      <w:r>
        <w:t xml:space="preserve">]  </w:t>
      </w:r>
      <w:proofErr w:type="spellStart"/>
      <w:r w:rsidR="00EC3E10">
        <w:t>Xie</w:t>
      </w:r>
      <w:proofErr w:type="spellEnd"/>
      <w:proofErr w:type="gramEnd"/>
      <w:r w:rsidR="00EC3E10">
        <w:t xml:space="preserve">, J.; Nozawa, W.; Yagi, M.; </w:t>
      </w:r>
      <w:proofErr w:type="spellStart"/>
      <w:r w:rsidR="00EC3E10">
        <w:t>Fujii</w:t>
      </w:r>
      <w:proofErr w:type="spellEnd"/>
      <w:r w:rsidR="00EC3E10">
        <w:t xml:space="preserve">, H.; </w:t>
      </w:r>
      <w:proofErr w:type="spellStart"/>
      <w:r w:rsidR="00EC3E10">
        <w:t>Managi</w:t>
      </w:r>
      <w:proofErr w:type="spellEnd"/>
      <w:r w:rsidR="00EC3E10">
        <w:t xml:space="preserve">, S. Do Environmental, Social, and Governance Activities Improve </w:t>
      </w:r>
      <w:proofErr w:type="spellStart"/>
      <w:r w:rsidR="00EC3E10">
        <w:t>CorporateFinancialPerformance</w:t>
      </w:r>
      <w:proofErr w:type="spellEnd"/>
      <w:r w:rsidR="00EC3E10">
        <w:t xml:space="preserve">? </w:t>
      </w:r>
      <w:proofErr w:type="spellStart"/>
      <w:r w:rsidR="00EC3E10">
        <w:t>MPRAPaperNo</w:t>
      </w:r>
      <w:proofErr w:type="spellEnd"/>
      <w:r w:rsidR="00EC3E10">
        <w:t xml:space="preserve">. 88720; Munich Personal </w:t>
      </w:r>
      <w:proofErr w:type="spellStart"/>
      <w:r w:rsidR="00EC3E10">
        <w:t>RePEc</w:t>
      </w:r>
      <w:proofErr w:type="spellEnd"/>
      <w:r w:rsidR="00EC3E10">
        <w:t xml:space="preserve"> Archive (MPRA): Munich, Germany, 2018; Available online: https://mpra.ub.uni-muenchen.de/88720/ (accessed on 20 January 2019). </w:t>
      </w:r>
    </w:p>
    <w:p w14:paraId="05F61EBE" w14:textId="71F0ADBE" w:rsidR="00EC3E10" w:rsidRDefault="0018557B" w:rsidP="0018557B">
      <w:pPr>
        <w:ind w:left="360" w:hanging="360"/>
        <w:jc w:val="left"/>
      </w:pPr>
      <w:r>
        <w:t>[</w:t>
      </w:r>
      <w:r w:rsidR="00EC3E10">
        <w:t>9</w:t>
      </w:r>
      <w:proofErr w:type="gramStart"/>
      <w:r>
        <w:t xml:space="preserve">]  </w:t>
      </w:r>
      <w:r>
        <w:tab/>
      </w:r>
      <w:proofErr w:type="gramEnd"/>
      <w:r w:rsidR="00EC3E10">
        <w:t>Global</w:t>
      </w:r>
      <w:r>
        <w:t xml:space="preserve"> </w:t>
      </w:r>
      <w:r w:rsidR="00EC3E10">
        <w:t>Reporting</w:t>
      </w:r>
      <w:r>
        <w:t xml:space="preserve"> </w:t>
      </w:r>
      <w:r w:rsidR="00EC3E10">
        <w:t>Initiative</w:t>
      </w:r>
      <w:r>
        <w:t xml:space="preserve"> </w:t>
      </w:r>
      <w:r w:rsidR="00EC3E10">
        <w:t>(GRI).</w:t>
      </w:r>
      <w:r>
        <w:t xml:space="preserve"> </w:t>
      </w:r>
      <w:r w:rsidR="00EC3E10">
        <w:t>Sustainability</w:t>
      </w:r>
      <w:r>
        <w:t xml:space="preserve"> </w:t>
      </w:r>
      <w:r w:rsidR="00EC3E10">
        <w:t>Reporting</w:t>
      </w:r>
      <w:r>
        <w:t xml:space="preserve"> </w:t>
      </w:r>
      <w:r w:rsidR="00EC3E10">
        <w:t>Guidelines;</w:t>
      </w:r>
      <w:r>
        <w:t xml:space="preserve"> </w:t>
      </w:r>
      <w:r w:rsidR="00EC3E10">
        <w:t>Global</w:t>
      </w:r>
      <w:r>
        <w:t xml:space="preserve"> </w:t>
      </w:r>
      <w:r w:rsidR="00EC3E10">
        <w:t>Reporting</w:t>
      </w:r>
      <w:r>
        <w:t xml:space="preserve"> </w:t>
      </w:r>
      <w:r w:rsidR="00EC3E10">
        <w:t xml:space="preserve">Initiative: Amsterdam, The Netherlands, 2018; Available online: https://www.globalreporting.org/Pages/Together-we-do-better--2018-Sustainability-Report.aspx (accessed on 29 November 2018). </w:t>
      </w:r>
    </w:p>
    <w:p w14:paraId="4E060430" w14:textId="1B109316" w:rsidR="00EC3E10" w:rsidRDefault="0018557B" w:rsidP="0018557B">
      <w:pPr>
        <w:ind w:left="360" w:hanging="360"/>
        <w:jc w:val="left"/>
      </w:pPr>
      <w:r>
        <w:t>[</w:t>
      </w:r>
      <w:r w:rsidR="00EC3E10">
        <w:t>10</w:t>
      </w:r>
      <w:r>
        <w:t xml:space="preserve">] </w:t>
      </w:r>
      <w:r w:rsidR="00EC3E10">
        <w:t xml:space="preserve">KPMG. </w:t>
      </w:r>
      <w:proofErr w:type="spellStart"/>
      <w:r w:rsidR="00EC3E10">
        <w:t>SurveyofCorporateSustainabilityReporting</w:t>
      </w:r>
      <w:proofErr w:type="spellEnd"/>
      <w:r w:rsidR="00EC3E10">
        <w:t xml:space="preserve">; KPMG: London, UK, 2017; Available online: https://home. </w:t>
      </w:r>
      <w:proofErr w:type="gramStart"/>
      <w:r w:rsidR="00EC3E10">
        <w:t>kpmg/xx/en/home/campaigns/2017/10/survey-of-corporate-responsibility-reporting-2017.html(</w:t>
      </w:r>
      <w:proofErr w:type="gramEnd"/>
      <w:r w:rsidR="00EC3E10">
        <w:t xml:space="preserve">accessedon 20 December 2018). </w:t>
      </w:r>
    </w:p>
    <w:p w14:paraId="57DB82DF" w14:textId="74082788" w:rsidR="00EC3E10" w:rsidRDefault="0018557B" w:rsidP="0018557B">
      <w:pPr>
        <w:ind w:left="360" w:hanging="360"/>
        <w:jc w:val="left"/>
      </w:pPr>
      <w:r>
        <w:t>[</w:t>
      </w:r>
      <w:r w:rsidR="00EC3E10">
        <w:t>11</w:t>
      </w:r>
      <w:r>
        <w:t xml:space="preserve">] </w:t>
      </w:r>
      <w:r w:rsidR="00EC3E10">
        <w:t>Walton, D. The Rise of Sustainable Investing in Asia; Reﬁnitiv: Gazipur, Bangladesh, 2018; Available online: https://www.reﬁnitiv.com/perspectives/future-of-investing-trading/sustainable-investing-in-asia/ (accessed on 3 January 2019).</w:t>
      </w:r>
    </w:p>
    <w:p w14:paraId="1B389242" w14:textId="3829AF19" w:rsidR="00EC3E10" w:rsidRDefault="0018557B" w:rsidP="0018557B">
      <w:pPr>
        <w:ind w:left="360" w:hanging="360"/>
        <w:jc w:val="left"/>
      </w:pPr>
      <w:r>
        <w:t>[</w:t>
      </w:r>
      <w:r w:rsidR="00EC3E10">
        <w:t>12</w:t>
      </w:r>
      <w:r>
        <w:t xml:space="preserve">] </w:t>
      </w:r>
      <w:r w:rsidR="00EC3E10">
        <w:t xml:space="preserve">Goyal, P.; Rahman, Z. Corporate sustainability </w:t>
      </w:r>
      <w:proofErr w:type="spellStart"/>
      <w:r w:rsidR="00EC3E10">
        <w:t>performace</w:t>
      </w:r>
      <w:proofErr w:type="spellEnd"/>
      <w:r w:rsidR="00EC3E10">
        <w:t xml:space="preserve"> and ﬁrm performance: Literature review and future research agenda. </w:t>
      </w:r>
      <w:proofErr w:type="spellStart"/>
      <w:r w:rsidR="00EC3E10">
        <w:t>Manag</w:t>
      </w:r>
      <w:proofErr w:type="spellEnd"/>
      <w:r w:rsidR="00EC3E10">
        <w:t xml:space="preserve">. </w:t>
      </w:r>
      <w:proofErr w:type="spellStart"/>
      <w:r w:rsidR="00EC3E10">
        <w:t>Decis</w:t>
      </w:r>
      <w:proofErr w:type="spellEnd"/>
      <w:r w:rsidR="00EC3E10">
        <w:t>. 2013, 51, 361–379</w:t>
      </w:r>
    </w:p>
    <w:p w14:paraId="644FC15F" w14:textId="7D9ED991" w:rsidR="00EC3E10" w:rsidRDefault="0018557B" w:rsidP="0018557B">
      <w:pPr>
        <w:ind w:left="360" w:hanging="360"/>
        <w:jc w:val="left"/>
      </w:pPr>
      <w:r>
        <w:t>[</w:t>
      </w:r>
      <w:r w:rsidR="00EC3E10">
        <w:t>13</w:t>
      </w:r>
      <w:r>
        <w:t xml:space="preserve">] </w:t>
      </w:r>
      <w:r w:rsidR="00EC3E10">
        <w:t xml:space="preserve">Cormier, D., </w:t>
      </w:r>
      <w:proofErr w:type="spellStart"/>
      <w:r w:rsidR="00EC3E10">
        <w:t>Magnan</w:t>
      </w:r>
      <w:proofErr w:type="spellEnd"/>
      <w:r w:rsidR="00EC3E10">
        <w:t xml:space="preserve">, M., &amp; </w:t>
      </w:r>
      <w:proofErr w:type="spellStart"/>
      <w:r w:rsidR="00EC3E10">
        <w:t>Morard</w:t>
      </w:r>
      <w:proofErr w:type="spellEnd"/>
      <w:r w:rsidR="00EC3E10">
        <w:t>, B. (1993). The impact of corporate pollution on market valuation: Some empirical evidence. Ecological economics, 8(2), 135-155.</w:t>
      </w:r>
    </w:p>
    <w:p w14:paraId="62BA39B8" w14:textId="06A0ECDF" w:rsidR="00EC3E10" w:rsidRDefault="0018557B" w:rsidP="0018557B">
      <w:pPr>
        <w:ind w:left="360" w:hanging="360"/>
        <w:jc w:val="left"/>
      </w:pPr>
      <w:r>
        <w:t>[</w:t>
      </w:r>
      <w:r w:rsidR="00EC3E10">
        <w:t>14</w:t>
      </w:r>
      <w:r>
        <w:t xml:space="preserve">] </w:t>
      </w:r>
      <w:proofErr w:type="spellStart"/>
      <w:r w:rsidR="00EC3E10">
        <w:t>Plumlee</w:t>
      </w:r>
      <w:proofErr w:type="spellEnd"/>
      <w:r w:rsidR="00EC3E10">
        <w:t>, M., Brown, D. and Marshall, S., 2010. The impact of voluntary environmental disclosure quality on firm value.</w:t>
      </w:r>
    </w:p>
    <w:p w14:paraId="1D452A60" w14:textId="00DE3296" w:rsidR="00EC3E10" w:rsidRDefault="0018557B" w:rsidP="0018557B">
      <w:pPr>
        <w:ind w:left="360" w:hanging="360"/>
        <w:jc w:val="left"/>
      </w:pPr>
      <w:r>
        <w:t>[</w:t>
      </w:r>
      <w:r w:rsidR="00EC3E10">
        <w:t>15</w:t>
      </w:r>
      <w:r>
        <w:t xml:space="preserve">] </w:t>
      </w:r>
      <w:proofErr w:type="spellStart"/>
      <w:r w:rsidR="00EC3E10">
        <w:t>Atan</w:t>
      </w:r>
      <w:proofErr w:type="spellEnd"/>
      <w:r w:rsidR="00EC3E10">
        <w:t xml:space="preserve">, R., </w:t>
      </w:r>
      <w:proofErr w:type="spellStart"/>
      <w:r w:rsidR="00EC3E10">
        <w:t>Alam</w:t>
      </w:r>
      <w:proofErr w:type="spellEnd"/>
      <w:r w:rsidR="00EC3E10">
        <w:t xml:space="preserve">, M.M., Said, J., and </w:t>
      </w:r>
      <w:proofErr w:type="spellStart"/>
      <w:r w:rsidR="00EC3E10">
        <w:t>Zamri</w:t>
      </w:r>
      <w:proofErr w:type="spellEnd"/>
      <w:r w:rsidR="00EC3E10">
        <w:t xml:space="preserve">, M. 2018. The impacts of environmental, social, and governance factors on firm performance: panel study on </w:t>
      </w:r>
      <w:proofErr w:type="spellStart"/>
      <w:r w:rsidR="00EC3E10">
        <w:t>malaysian</w:t>
      </w:r>
      <w:proofErr w:type="spellEnd"/>
      <w:r w:rsidR="00EC3E10">
        <w:t xml:space="preserve"> companies. </w:t>
      </w:r>
      <w:proofErr w:type="spellStart"/>
      <w:r w:rsidR="00EC3E10">
        <w:t>Manag</w:t>
      </w:r>
      <w:proofErr w:type="spellEnd"/>
      <w:r w:rsidR="00EC3E10">
        <w:t xml:space="preserve">. Environ. Qual. Int. J., 29, 182–194. </w:t>
      </w:r>
    </w:p>
    <w:p w14:paraId="01777940" w14:textId="61F1567A" w:rsidR="00EC3E10" w:rsidRDefault="0018557B" w:rsidP="0018557B">
      <w:pPr>
        <w:ind w:left="360" w:hanging="360"/>
        <w:jc w:val="left"/>
      </w:pPr>
      <w:r>
        <w:t>[</w:t>
      </w:r>
      <w:r w:rsidR="00EC3E10">
        <w:t>16</w:t>
      </w:r>
      <w:r>
        <w:t xml:space="preserve">] </w:t>
      </w:r>
      <w:proofErr w:type="spellStart"/>
      <w:r w:rsidR="00EC3E10">
        <w:t>Maftuchah</w:t>
      </w:r>
      <w:proofErr w:type="spellEnd"/>
      <w:r w:rsidR="00EC3E10">
        <w:t>, 2018</w:t>
      </w:r>
    </w:p>
    <w:p w14:paraId="5F732D97" w14:textId="3B0092A0" w:rsidR="00EC3E10" w:rsidRDefault="0018557B" w:rsidP="0018557B">
      <w:pPr>
        <w:ind w:left="360" w:hanging="360"/>
        <w:jc w:val="left"/>
      </w:pPr>
      <w:r>
        <w:t>[</w:t>
      </w:r>
      <w:r w:rsidR="00EC3E10">
        <w:t>17</w:t>
      </w:r>
      <w:r>
        <w:t xml:space="preserve">] </w:t>
      </w:r>
      <w:proofErr w:type="spellStart"/>
      <w:r w:rsidR="00EC3E10">
        <w:t>Länsilahti</w:t>
      </w:r>
      <w:proofErr w:type="spellEnd"/>
      <w:r w:rsidR="00EC3E10">
        <w:t xml:space="preserve">, 2012. Market reactions to Environmental, Social, and Governance (ESG)-news: Evidence from European Markets. </w:t>
      </w:r>
    </w:p>
    <w:p w14:paraId="60A8F38A" w14:textId="1A6D6CBB" w:rsidR="00EC3E10" w:rsidRDefault="006F18BA" w:rsidP="006F18BA">
      <w:pPr>
        <w:ind w:left="360" w:hanging="360"/>
        <w:jc w:val="left"/>
      </w:pPr>
      <w:r>
        <w:t>[</w:t>
      </w:r>
      <w:r w:rsidR="00EC3E10">
        <w:t>18</w:t>
      </w:r>
      <w:r>
        <w:t xml:space="preserve">] </w:t>
      </w:r>
      <w:r w:rsidR="00EC3E10">
        <w:tab/>
      </w:r>
      <w:proofErr w:type="spellStart"/>
      <w:r w:rsidR="00EC3E10">
        <w:t>Zuraida</w:t>
      </w:r>
      <w:proofErr w:type="spellEnd"/>
      <w:r w:rsidR="00EC3E10">
        <w:t xml:space="preserve">, Z., </w:t>
      </w:r>
      <w:proofErr w:type="spellStart"/>
      <w:r w:rsidR="00EC3E10">
        <w:t>Houqe</w:t>
      </w:r>
      <w:proofErr w:type="spellEnd"/>
      <w:r w:rsidR="00EC3E10">
        <w:t xml:space="preserve">, N., and </w:t>
      </w:r>
      <w:proofErr w:type="spellStart"/>
      <w:r w:rsidR="00EC3E10">
        <w:t>VanZijl</w:t>
      </w:r>
      <w:proofErr w:type="spellEnd"/>
      <w:r w:rsidR="00EC3E10">
        <w:t>. 2016. Value relevance of environmental, social and governance disclosure, social and governance disclosure. In Handbook of Finance and Sustainability; Edward Elgar Publishing: Cheltenham, UK, 2016; Available online: https://ssrn.com/abstract=2376521 (accessed on 1 July 2020).</w:t>
      </w:r>
    </w:p>
    <w:p w14:paraId="4C93D9D6" w14:textId="6DD34D49" w:rsidR="00EC3E10" w:rsidRDefault="006F18BA" w:rsidP="006F18BA">
      <w:pPr>
        <w:ind w:left="360" w:hanging="360"/>
        <w:jc w:val="left"/>
      </w:pPr>
      <w:r>
        <w:t>[</w:t>
      </w:r>
      <w:r w:rsidR="00EC3E10">
        <w:t>19</w:t>
      </w:r>
      <w:r>
        <w:t xml:space="preserve">] </w:t>
      </w:r>
      <w:r w:rsidR="00EC3E10">
        <w:tab/>
        <w:t>AJP. 2019. ESG Investment: Towards Sustainable Development in ASEAN and Japan" issued by the ASEAN-Japan Centre, https://www.asean.or.jp/en/wp-content/uploads/sites/3/ESG_web.pdf</w:t>
      </w:r>
    </w:p>
    <w:p w14:paraId="5F18C560" w14:textId="67E7550C" w:rsidR="00EC3E10" w:rsidRDefault="006F18BA" w:rsidP="006F18BA">
      <w:pPr>
        <w:ind w:left="360" w:hanging="360"/>
        <w:jc w:val="left"/>
      </w:pPr>
      <w:r>
        <w:t>[</w:t>
      </w:r>
      <w:r w:rsidR="00EC3E10">
        <w:t>20</w:t>
      </w:r>
      <w:r>
        <w:t xml:space="preserve">] </w:t>
      </w:r>
      <w:r w:rsidR="00EC3E10">
        <w:t>Georg Kell (United Nations Global Compact), "Five trends that show corporate responsibility is here to stay", The Guardian, 13 August 2014 (page visited on 28 January 2018).</w:t>
      </w:r>
    </w:p>
    <w:p w14:paraId="5458DD86" w14:textId="4298FE87" w:rsidR="00EC3E10" w:rsidRDefault="006F18BA" w:rsidP="006F18BA">
      <w:pPr>
        <w:ind w:left="360" w:hanging="360"/>
        <w:jc w:val="left"/>
      </w:pPr>
      <w:r>
        <w:t>[</w:t>
      </w:r>
      <w:r w:rsidR="00EC3E10">
        <w:t>21</w:t>
      </w:r>
      <w:r>
        <w:t xml:space="preserve">] </w:t>
      </w:r>
      <w:r w:rsidR="00EC3E10">
        <w:t xml:space="preserve">Robert Eccles, </w:t>
      </w:r>
      <w:proofErr w:type="spellStart"/>
      <w:r w:rsidR="00EC3E10">
        <w:t>Ioannis</w:t>
      </w:r>
      <w:proofErr w:type="spellEnd"/>
      <w:r w:rsidR="00EC3E10">
        <w:t xml:space="preserve"> </w:t>
      </w:r>
      <w:proofErr w:type="spellStart"/>
      <w:r w:rsidR="00EC3E10">
        <w:t>Ioannou</w:t>
      </w:r>
      <w:proofErr w:type="spellEnd"/>
      <w:r w:rsidR="00EC3E10">
        <w:t xml:space="preserve"> and George </w:t>
      </w:r>
      <w:proofErr w:type="spellStart"/>
      <w:r w:rsidR="00EC3E10">
        <w:t>Serafeim</w:t>
      </w:r>
      <w:proofErr w:type="spellEnd"/>
      <w:r w:rsidR="00EC3E10">
        <w:t xml:space="preserve">, "Is sustainability now the key to corporate success? Companies that adopted environmental, social and governance policies </w:t>
      </w:r>
      <w:r w:rsidR="00EC3E10">
        <w:lastRenderedPageBreak/>
        <w:t>in the 1990s have outperformed those that didn't", The Guardian, 6 January 2012 (page visited on 28 January 2018).</w:t>
      </w:r>
    </w:p>
    <w:p w14:paraId="70373BDD" w14:textId="5AF38706" w:rsidR="00EC3E10" w:rsidRDefault="00EC3E10" w:rsidP="00EC3E10">
      <w:pPr>
        <w:ind w:left="360" w:hanging="360"/>
        <w:jc w:val="left"/>
      </w:pPr>
      <w:r>
        <w:t xml:space="preserve">[22] </w:t>
      </w:r>
      <w:proofErr w:type="spellStart"/>
      <w:r>
        <w:t>Dalal</w:t>
      </w:r>
      <w:proofErr w:type="spellEnd"/>
      <w:r>
        <w:t xml:space="preserve">, K.K.; </w:t>
      </w:r>
      <w:proofErr w:type="spellStart"/>
      <w:r>
        <w:t>Thaker</w:t>
      </w:r>
      <w:proofErr w:type="spellEnd"/>
      <w:r>
        <w:t>, N. ESG and Corporate Financial Performance: A Panel Study of Indian Companies. IUP J. Corp. Gov. 2019, 18, 44–59.</w:t>
      </w:r>
    </w:p>
    <w:p w14:paraId="1200737E" w14:textId="42A161D3" w:rsidR="00EC3E10" w:rsidRDefault="00EC3E10" w:rsidP="00EC3E10">
      <w:pPr>
        <w:ind w:left="360" w:hanging="360"/>
        <w:jc w:val="left"/>
      </w:pPr>
      <w:r>
        <w:t xml:space="preserve">[23] </w:t>
      </w:r>
      <w:proofErr w:type="spellStart"/>
      <w:r>
        <w:t>Xie</w:t>
      </w:r>
      <w:proofErr w:type="spellEnd"/>
      <w:r>
        <w:t xml:space="preserve">, J.; Nozawa, W.; Yagi, M.; </w:t>
      </w:r>
      <w:proofErr w:type="spellStart"/>
      <w:r>
        <w:t>Fujii</w:t>
      </w:r>
      <w:proofErr w:type="spellEnd"/>
      <w:r>
        <w:t xml:space="preserve">, H.; </w:t>
      </w:r>
      <w:proofErr w:type="spellStart"/>
      <w:r>
        <w:t>Managi</w:t>
      </w:r>
      <w:proofErr w:type="spellEnd"/>
      <w:r>
        <w:t xml:space="preserve">, S. Do Environmental, Social, and Governance Activities Improve </w:t>
      </w:r>
      <w:proofErr w:type="spellStart"/>
      <w:r>
        <w:t>CorporateFinancialPerformance</w:t>
      </w:r>
      <w:proofErr w:type="spellEnd"/>
      <w:r>
        <w:t xml:space="preserve">? </w:t>
      </w:r>
      <w:proofErr w:type="spellStart"/>
      <w:r>
        <w:t>MPRAPaperNo</w:t>
      </w:r>
      <w:proofErr w:type="spellEnd"/>
      <w:r>
        <w:t xml:space="preserve">. 88720; Munich Personal </w:t>
      </w:r>
      <w:proofErr w:type="spellStart"/>
      <w:r>
        <w:t>RePEc</w:t>
      </w:r>
      <w:proofErr w:type="spellEnd"/>
      <w:r>
        <w:t xml:space="preserve"> Archive (MPRA): Munich, Germany, 2018; Available online: https://mpra.ub.uni-muenchen.de/88720/ (accessed on 20 January 2019).</w:t>
      </w:r>
    </w:p>
    <w:p w14:paraId="365B52F6" w14:textId="2232E688" w:rsidR="00EC3E10" w:rsidRDefault="00EC3E10" w:rsidP="00EC3E10">
      <w:pPr>
        <w:ind w:left="360" w:hanging="360"/>
        <w:jc w:val="left"/>
      </w:pPr>
      <w:r>
        <w:t>[24] Weber, O. Environmental, Social and Governance Reporting in China. Bus. Strategy Environ. 2014, 23, 303–317. [</w:t>
      </w:r>
      <w:proofErr w:type="spellStart"/>
      <w:r>
        <w:t>CrossRef</w:t>
      </w:r>
      <w:proofErr w:type="spellEnd"/>
      <w:r>
        <w:t>]</w:t>
      </w:r>
    </w:p>
    <w:p w14:paraId="688A64F5" w14:textId="620EDF46" w:rsidR="00EC3E10" w:rsidRDefault="00EC3E10" w:rsidP="00EC3E10">
      <w:pPr>
        <w:ind w:left="360" w:hanging="360"/>
        <w:jc w:val="left"/>
      </w:pPr>
      <w:r>
        <w:t>[25] Li, Y.; Gong, M.; Zhang, X.; Koh, L. The impact of environmental, social and governance disclosure on ﬁrm value: The role of CEO power. Br. Account. Rev. 2018, 50, 60–75. [</w:t>
      </w:r>
      <w:proofErr w:type="spellStart"/>
      <w:r>
        <w:t>CrossRef</w:t>
      </w:r>
      <w:proofErr w:type="spellEnd"/>
      <w:r>
        <w:t xml:space="preserve">] </w:t>
      </w:r>
    </w:p>
    <w:p w14:paraId="204FF0AF" w14:textId="4A8D4698" w:rsidR="00EC3E10" w:rsidRDefault="00EC3E10" w:rsidP="00EC3E10">
      <w:pPr>
        <w:ind w:left="360" w:hanging="360"/>
        <w:jc w:val="left"/>
      </w:pPr>
      <w:r>
        <w:t xml:space="preserve">[26] Gordon L. Clark, Andreas </w:t>
      </w:r>
      <w:proofErr w:type="spellStart"/>
      <w:r>
        <w:t>Feiner</w:t>
      </w:r>
      <w:proofErr w:type="spellEnd"/>
      <w:r>
        <w:t xml:space="preserve">, Michael </w:t>
      </w:r>
      <w:proofErr w:type="spellStart"/>
      <w:r>
        <w:t>Viehs</w:t>
      </w:r>
      <w:proofErr w:type="spellEnd"/>
      <w:r>
        <w:t xml:space="preserve">. Published 2015. From the Stockholder to the Stakeholder: How Sustainability can Drive Financial Outperformance. </w:t>
      </w:r>
      <w:proofErr w:type="gramStart"/>
      <w:r>
        <w:t>DOI:10.2139/ssrn.2508281Corpus</w:t>
      </w:r>
      <w:proofErr w:type="gramEnd"/>
      <w:r>
        <w:t xml:space="preserve"> ID: 166867337. Organizations &amp; Markets: Formal &amp; Informal Structures </w:t>
      </w:r>
      <w:proofErr w:type="spellStart"/>
      <w:r>
        <w:t>eJournal</w:t>
      </w:r>
      <w:proofErr w:type="spellEnd"/>
    </w:p>
    <w:p w14:paraId="35D12FB5" w14:textId="5F46F505" w:rsidR="00EC3E10" w:rsidRDefault="00EC3E10" w:rsidP="00EC3E10">
      <w:pPr>
        <w:ind w:left="360" w:hanging="360"/>
        <w:jc w:val="left"/>
      </w:pPr>
      <w:r>
        <w:t xml:space="preserve">[27] Claudio Ferrarese &amp; Joe </w:t>
      </w:r>
      <w:proofErr w:type="spellStart"/>
      <w:r>
        <w:t>Hanmer</w:t>
      </w:r>
      <w:proofErr w:type="spellEnd"/>
      <w:r>
        <w:t>. 2018. The impact of ESG investing in corporate bonds. https://page.ws.fidelityinternational.com/rs/829-LMV-001/images/ESG%20White%20Paper%20FINAL.pdf</w:t>
      </w:r>
    </w:p>
    <w:p w14:paraId="35200D31" w14:textId="5B6236CF" w:rsidR="00EC3E10" w:rsidRDefault="00EC3E10" w:rsidP="00EC3E10">
      <w:pPr>
        <w:ind w:left="360" w:hanging="360"/>
        <w:jc w:val="left"/>
      </w:pPr>
      <w:r>
        <w:t xml:space="preserve">[28] Mohamed Ben Slimane, </w:t>
      </w:r>
      <w:proofErr w:type="spellStart"/>
      <w:r>
        <w:t>Th´eo</w:t>
      </w:r>
      <w:proofErr w:type="spellEnd"/>
      <w:r>
        <w:t xml:space="preserve"> Le </w:t>
      </w:r>
      <w:proofErr w:type="spellStart"/>
      <w:r>
        <w:t>Guenedal</w:t>
      </w:r>
      <w:proofErr w:type="spellEnd"/>
      <w:r>
        <w:t xml:space="preserve">, Thierry Roncalli, Takaya </w:t>
      </w:r>
      <w:proofErr w:type="spellStart"/>
      <w:r>
        <w:t>Sekine</w:t>
      </w:r>
      <w:proofErr w:type="spellEnd"/>
      <w:r>
        <w:t>. 2019. ESG Investing in Corporate Bonds: Mind the Gap. https://pdfs.semanticscholar.org/ac20/cf401d43e673cfcb122778798285e52f2793.pdf</w:t>
      </w:r>
    </w:p>
    <w:p w14:paraId="29A6F3DC" w14:textId="7B8E0826" w:rsidR="00EC3E10" w:rsidRDefault="00EC3E10" w:rsidP="00EC3E10">
      <w:pPr>
        <w:ind w:left="360" w:hanging="360"/>
        <w:jc w:val="left"/>
      </w:pPr>
      <w:r>
        <w:t>[29] Hsu, Po-</w:t>
      </w:r>
      <w:proofErr w:type="spellStart"/>
      <w:r>
        <w:t>Hsuan</w:t>
      </w:r>
      <w:proofErr w:type="spellEnd"/>
      <w:r>
        <w:t xml:space="preserve"> and Liang, Hao and Matos, Pedro, Leviathan Inc. and Corporate Environmental Engagement (March 2018). Darden Business School Working Paper No. 2960832, ECGI - Finance Working Paper No. 526/2017, Available at SSRN: https://ssrn.com/abstract=2960832 or http://dx.doi.org/10.2139/ssrn.2960832</w:t>
      </w:r>
    </w:p>
    <w:p w14:paraId="04E5F759" w14:textId="5C5146FB" w:rsidR="00EC3E10" w:rsidRDefault="00EC3E10" w:rsidP="00EC3E10">
      <w:pPr>
        <w:ind w:left="360" w:hanging="360"/>
        <w:jc w:val="left"/>
      </w:pPr>
      <w:r>
        <w:t xml:space="preserve">[30] </w:t>
      </w:r>
      <w:proofErr w:type="spellStart"/>
      <w:r>
        <w:t>Pallant</w:t>
      </w:r>
      <w:proofErr w:type="spellEnd"/>
      <w:r>
        <w:t>, J. 2011. SPSS Survival Manual: A step by step guide to data analysis using SPSS for windows 3rd edition. England: McGraw Hill Open University Press.</w:t>
      </w:r>
    </w:p>
    <w:p w14:paraId="054EBC32" w14:textId="0AD90C55" w:rsidR="00EC3E10" w:rsidRDefault="00EC3E10" w:rsidP="00EC3E10">
      <w:pPr>
        <w:ind w:left="360" w:hanging="360"/>
        <w:jc w:val="left"/>
      </w:pPr>
      <w:r>
        <w:t>[31] Gujarati &amp; Sangeetha, 2007). Gujarati, D., &amp; Sangeetha, N. 2007. Basic Econometrics. Fourth Edition, Tata McGraw-Hill, New Delhi.</w:t>
      </w:r>
    </w:p>
    <w:p w14:paraId="389679BF" w14:textId="42D4293B" w:rsidR="00EC3E10" w:rsidRDefault="00EC3E10" w:rsidP="00EC3E10">
      <w:pPr>
        <w:ind w:left="360" w:hanging="360"/>
        <w:jc w:val="left"/>
      </w:pPr>
      <w:r>
        <w:t xml:space="preserve">[32] Alexander </w:t>
      </w:r>
      <w:proofErr w:type="spellStart"/>
      <w:r>
        <w:t>AbramovAlexander</w:t>
      </w:r>
      <w:proofErr w:type="spellEnd"/>
      <w:r>
        <w:t xml:space="preserve"> </w:t>
      </w:r>
      <w:proofErr w:type="spellStart"/>
      <w:r>
        <w:t>AbramovAlexander</w:t>
      </w:r>
      <w:proofErr w:type="spellEnd"/>
      <w:r>
        <w:t xml:space="preserve"> </w:t>
      </w:r>
      <w:proofErr w:type="spellStart"/>
      <w:r>
        <w:t>RadyginRevold</w:t>
      </w:r>
      <w:proofErr w:type="spellEnd"/>
      <w:r>
        <w:t xml:space="preserve"> </w:t>
      </w:r>
      <w:proofErr w:type="spellStart"/>
      <w:r>
        <w:t>EntovRevold</w:t>
      </w:r>
      <w:proofErr w:type="spellEnd"/>
      <w:r>
        <w:t xml:space="preserve"> </w:t>
      </w:r>
      <w:proofErr w:type="spellStart"/>
      <w:r>
        <w:t>EntovMaria</w:t>
      </w:r>
      <w:proofErr w:type="spellEnd"/>
      <w:r>
        <w:t xml:space="preserve"> </w:t>
      </w:r>
      <w:proofErr w:type="spellStart"/>
      <w:r>
        <w:t>ChernovaMaria</w:t>
      </w:r>
      <w:proofErr w:type="spellEnd"/>
      <w:r>
        <w:t xml:space="preserve"> </w:t>
      </w:r>
      <w:proofErr w:type="spellStart"/>
      <w:r>
        <w:t>Chernova</w:t>
      </w:r>
      <w:proofErr w:type="spellEnd"/>
      <w:r>
        <w:t>. 2017. State ownership and efficiency characteristics. Russian Journal of Economics 3(2):129-157. DOI: 10.1016/j.ruje.2017.06.002</w:t>
      </w:r>
    </w:p>
    <w:p w14:paraId="7FC954F9" w14:textId="612D4C92" w:rsidR="00EC3E10" w:rsidRDefault="00EC3E10" w:rsidP="00EC3E10">
      <w:pPr>
        <w:ind w:left="360" w:hanging="360"/>
        <w:jc w:val="left"/>
      </w:pPr>
      <w:r>
        <w:t xml:space="preserve">[33] </w:t>
      </w:r>
      <w:r w:rsidR="0010123A">
        <w:t xml:space="preserve">Michael J. </w:t>
      </w:r>
      <w:proofErr w:type="spellStart"/>
      <w:r w:rsidR="0010123A">
        <w:t>Cooperhuseyin</w:t>
      </w:r>
      <w:proofErr w:type="spellEnd"/>
      <w:r w:rsidR="0010123A">
        <w:t xml:space="preserve"> </w:t>
      </w:r>
      <w:proofErr w:type="spellStart"/>
      <w:r w:rsidR="0010123A">
        <w:t>Gulenhuseyin</w:t>
      </w:r>
      <w:proofErr w:type="spellEnd"/>
      <w:r w:rsidR="0010123A">
        <w:t xml:space="preserve"> </w:t>
      </w:r>
      <w:proofErr w:type="spellStart"/>
      <w:r w:rsidR="0010123A">
        <w:t>Gulenmichael</w:t>
      </w:r>
      <w:proofErr w:type="spellEnd"/>
      <w:r w:rsidR="0010123A">
        <w:t xml:space="preserve"> J. </w:t>
      </w:r>
      <w:proofErr w:type="spellStart"/>
      <w:r w:rsidR="0010123A">
        <w:t>Schill</w:t>
      </w:r>
      <w:proofErr w:type="spellEnd"/>
      <w:r>
        <w:t>. 2008. Asset Growth and the Cross-Section of Stock Returns. 2008The Journal of Finance 63(4):1609-1651</w:t>
      </w:r>
    </w:p>
    <w:p w14:paraId="69CDC453" w14:textId="7ED82D69" w:rsidR="00EC3E10" w:rsidRDefault="00EC3E10" w:rsidP="00EC3E10">
      <w:pPr>
        <w:ind w:left="360" w:hanging="360"/>
        <w:jc w:val="left"/>
      </w:pPr>
      <w:r>
        <w:t xml:space="preserve">[34] </w:t>
      </w:r>
      <w:proofErr w:type="spellStart"/>
      <w:r>
        <w:t>Elango</w:t>
      </w:r>
      <w:proofErr w:type="spellEnd"/>
      <w:r>
        <w:t>, B., Y. Ma and N. Pope, 2008. An investigation into the diversification-performance relationship in the U.S. property-liability insurance industry. Journal of Risk and Insurance, 75(3): 567-591</w:t>
      </w:r>
    </w:p>
    <w:p w14:paraId="4298D1A6" w14:textId="2F914C8F" w:rsidR="00EC3E10" w:rsidRPr="00EC3E10" w:rsidRDefault="00EC3E10" w:rsidP="00EC3E10">
      <w:pPr>
        <w:ind w:left="360" w:hanging="360"/>
        <w:jc w:val="left"/>
      </w:pPr>
      <w:r>
        <w:t xml:space="preserve">[35] an, Aaron Yong and </w:t>
      </w:r>
      <w:proofErr w:type="spellStart"/>
      <w:r>
        <w:t>Floros</w:t>
      </w:r>
      <w:proofErr w:type="spellEnd"/>
      <w:r>
        <w:t>, Christos (2012) Bank profitability and GDP growth in China: A Note. Journal of Chinese Economics and Business Studies, 10 (3). pp. 267­273. ISSN 1476­5284.</w:t>
      </w:r>
    </w:p>
    <w:p w14:paraId="34542D1C" w14:textId="1AAECB60" w:rsidR="008B197E" w:rsidRDefault="008B197E">
      <w:pPr>
        <w:pStyle w:val="References"/>
        <w:numPr>
          <w:ilvl w:val="0"/>
          <w:numId w:val="0"/>
        </w:numPr>
      </w:pPr>
    </w:p>
    <w:p w14:paraId="3EBCE3F6" w14:textId="6F823625" w:rsidR="006F18BA" w:rsidRDefault="006F18BA">
      <w:pPr>
        <w:spacing w:after="0"/>
        <w:jc w:val="left"/>
      </w:pPr>
      <w:r>
        <w:br w:type="page"/>
      </w:r>
    </w:p>
    <w:p w14:paraId="71642B37" w14:textId="77777777" w:rsidR="006F18BA" w:rsidRDefault="006F18BA">
      <w:pPr>
        <w:pStyle w:val="References"/>
        <w:numPr>
          <w:ilvl w:val="0"/>
          <w:numId w:val="0"/>
        </w:numPr>
      </w:pPr>
    </w:p>
    <w:p w14:paraId="1C536DDB" w14:textId="77777777" w:rsidR="008B197E" w:rsidRDefault="008B197E">
      <w:pPr>
        <w:pStyle w:val="References"/>
        <w:numPr>
          <w:ilvl w:val="0"/>
          <w:numId w:val="0"/>
        </w:numPr>
        <w:ind w:left="360" w:hanging="360"/>
      </w:pPr>
    </w:p>
    <w:p w14:paraId="47AA3201" w14:textId="77777777" w:rsidR="008B197E" w:rsidRDefault="008B197E">
      <w:pPr>
        <w:pStyle w:val="References"/>
        <w:numPr>
          <w:ilvl w:val="0"/>
          <w:numId w:val="0"/>
        </w:numPr>
        <w:ind w:left="360" w:hanging="360"/>
        <w:sectPr w:rsidR="008B197E" w:rsidSect="003B4153">
          <w:type w:val="continuous"/>
          <w:pgSz w:w="12240" w:h="15840" w:code="1"/>
          <w:pgMar w:top="1080" w:right="1080" w:bottom="1440" w:left="1080" w:header="720" w:footer="720" w:gutter="0"/>
          <w:cols w:num="2" w:space="475"/>
        </w:sectPr>
      </w:pPr>
    </w:p>
    <w:p w14:paraId="674D1E79" w14:textId="77777777" w:rsidR="008B197E" w:rsidRDefault="008B197E">
      <w:pPr>
        <w:pStyle w:val="Paper-Title"/>
        <w:rPr>
          <w:lang w:eastAsia="zh-CN"/>
        </w:rPr>
      </w:pPr>
      <w:r>
        <w:t xml:space="preserve">Columns on Last Page Should Be Made </w:t>
      </w:r>
      <w:proofErr w:type="gramStart"/>
      <w:r>
        <w:t>As</w:t>
      </w:r>
      <w:proofErr w:type="gramEnd"/>
      <w:r>
        <w:t xml:space="preserve"> Close As Possible to Equal Length</w:t>
      </w:r>
    </w:p>
    <w:p w14:paraId="149702D8" w14:textId="77777777" w:rsidR="006A35B6" w:rsidRDefault="006A35B6" w:rsidP="009731C3">
      <w:pPr>
        <w:pStyle w:val="Paper-Title"/>
        <w:jc w:val="both"/>
        <w:rPr>
          <w:lang w:eastAsia="zh-CN"/>
        </w:rPr>
      </w:pPr>
    </w:p>
    <w:p w14:paraId="0054C7C1" w14:textId="77777777" w:rsidR="006A35B6" w:rsidRDefault="006A35B6" w:rsidP="006A35B6">
      <w:pPr>
        <w:pStyle w:val="Paper-Title"/>
        <w:jc w:val="left"/>
        <w:rPr>
          <w:lang w:eastAsia="zh-CN"/>
        </w:rPr>
      </w:pPr>
      <w:r w:rsidRPr="006A35B6">
        <w:rPr>
          <w:rFonts w:hint="eastAsia"/>
        </w:rPr>
        <w:t>Authors</w:t>
      </w:r>
      <w:r w:rsidRPr="006A35B6">
        <w:t>’</w:t>
      </w:r>
      <w:r w:rsidRPr="006A35B6">
        <w:rPr>
          <w:rFonts w:hint="eastAsia"/>
        </w:rPr>
        <w:t xml:space="preserve"> background</w:t>
      </w:r>
    </w:p>
    <w:tbl>
      <w:tblPr>
        <w:tblStyle w:val="TableGrid"/>
        <w:tblW w:w="0" w:type="auto"/>
        <w:tblLook w:val="04A0" w:firstRow="1" w:lastRow="0" w:firstColumn="1" w:lastColumn="0" w:noHBand="0" w:noVBand="1"/>
      </w:tblPr>
      <w:tblGrid>
        <w:gridCol w:w="2468"/>
        <w:gridCol w:w="2478"/>
        <w:gridCol w:w="2501"/>
        <w:gridCol w:w="2623"/>
      </w:tblGrid>
      <w:tr w:rsidR="006F18BA" w:rsidRPr="000401EE" w14:paraId="608F444A" w14:textId="77777777" w:rsidTr="001F3E4F">
        <w:trPr>
          <w:trHeight w:val="419"/>
        </w:trPr>
        <w:tc>
          <w:tcPr>
            <w:tcW w:w="2574" w:type="dxa"/>
            <w:vAlign w:val="center"/>
          </w:tcPr>
          <w:p w14:paraId="4F7FDBD4" w14:textId="77777777" w:rsidR="006A35B6" w:rsidRPr="000401EE" w:rsidRDefault="006A35B6" w:rsidP="001F3E4F">
            <w:pPr>
              <w:pStyle w:val="Paper-Title"/>
              <w:rPr>
                <w:sz w:val="18"/>
                <w:szCs w:val="18"/>
                <w:lang w:eastAsia="zh-CN"/>
              </w:rPr>
            </w:pPr>
            <w:r w:rsidRPr="000401EE">
              <w:rPr>
                <w:rFonts w:hint="eastAsia"/>
                <w:sz w:val="18"/>
                <w:szCs w:val="18"/>
                <w:lang w:eastAsia="zh-CN"/>
              </w:rPr>
              <w:t>Your Name</w:t>
            </w:r>
          </w:p>
        </w:tc>
        <w:tc>
          <w:tcPr>
            <w:tcW w:w="2574" w:type="dxa"/>
            <w:vAlign w:val="center"/>
          </w:tcPr>
          <w:p w14:paraId="77212E01" w14:textId="77777777" w:rsidR="006A35B6" w:rsidRPr="000401EE" w:rsidRDefault="006A35B6" w:rsidP="001F3E4F">
            <w:pPr>
              <w:pStyle w:val="Paper-Title"/>
              <w:rPr>
                <w:sz w:val="18"/>
                <w:szCs w:val="18"/>
                <w:lang w:eastAsia="zh-CN"/>
              </w:rPr>
            </w:pPr>
            <w:r w:rsidRPr="000401EE">
              <w:rPr>
                <w:sz w:val="18"/>
                <w:szCs w:val="18"/>
                <w:lang w:eastAsia="zh-CN"/>
              </w:rPr>
              <w:t>T</w:t>
            </w:r>
            <w:r w:rsidRPr="000401EE">
              <w:rPr>
                <w:rFonts w:hint="eastAsia"/>
                <w:sz w:val="18"/>
                <w:szCs w:val="18"/>
                <w:lang w:eastAsia="zh-CN"/>
              </w:rPr>
              <w:t>itle*</w:t>
            </w:r>
          </w:p>
        </w:tc>
        <w:tc>
          <w:tcPr>
            <w:tcW w:w="2574" w:type="dxa"/>
            <w:vAlign w:val="center"/>
          </w:tcPr>
          <w:p w14:paraId="4EEECA5C" w14:textId="77777777" w:rsidR="006A35B6" w:rsidRPr="000401EE" w:rsidRDefault="006A35B6" w:rsidP="001F3E4F">
            <w:pPr>
              <w:pStyle w:val="Paper-Title"/>
              <w:rPr>
                <w:sz w:val="18"/>
                <w:szCs w:val="18"/>
                <w:lang w:eastAsia="zh-CN"/>
              </w:rPr>
            </w:pPr>
            <w:r w:rsidRPr="000401EE">
              <w:rPr>
                <w:rFonts w:hint="eastAsia"/>
                <w:sz w:val="18"/>
                <w:szCs w:val="18"/>
                <w:lang w:eastAsia="zh-CN"/>
              </w:rPr>
              <w:t>Research Field</w:t>
            </w:r>
          </w:p>
        </w:tc>
        <w:tc>
          <w:tcPr>
            <w:tcW w:w="2574" w:type="dxa"/>
            <w:vAlign w:val="center"/>
          </w:tcPr>
          <w:p w14:paraId="39D5F7C6" w14:textId="77777777" w:rsidR="006A35B6" w:rsidRPr="000401EE" w:rsidRDefault="006A35B6" w:rsidP="001F3E4F">
            <w:pPr>
              <w:pStyle w:val="Paper-Title"/>
              <w:rPr>
                <w:sz w:val="18"/>
                <w:szCs w:val="18"/>
                <w:lang w:eastAsia="zh-CN"/>
              </w:rPr>
            </w:pPr>
            <w:r w:rsidRPr="000401EE">
              <w:rPr>
                <w:rFonts w:hint="eastAsia"/>
                <w:sz w:val="18"/>
                <w:szCs w:val="18"/>
                <w:lang w:eastAsia="zh-CN"/>
              </w:rPr>
              <w:t>Personal website</w:t>
            </w:r>
          </w:p>
        </w:tc>
      </w:tr>
      <w:tr w:rsidR="006F18BA" w:rsidRPr="000401EE" w14:paraId="4B37DFFC" w14:textId="77777777" w:rsidTr="001F3E4F">
        <w:tc>
          <w:tcPr>
            <w:tcW w:w="2574" w:type="dxa"/>
            <w:vAlign w:val="center"/>
          </w:tcPr>
          <w:p w14:paraId="733BB128" w14:textId="6EA800C3" w:rsidR="006A35B6" w:rsidRPr="000401EE" w:rsidRDefault="006F18BA" w:rsidP="001F3E4F">
            <w:pPr>
              <w:pStyle w:val="Paper-Title"/>
              <w:jc w:val="left"/>
              <w:rPr>
                <w:sz w:val="18"/>
                <w:szCs w:val="18"/>
                <w:lang w:eastAsia="zh-CN"/>
              </w:rPr>
            </w:pPr>
            <w:proofErr w:type="spellStart"/>
            <w:r w:rsidRPr="000401EE">
              <w:rPr>
                <w:sz w:val="18"/>
                <w:szCs w:val="18"/>
                <w:lang w:eastAsia="zh-CN"/>
              </w:rPr>
              <w:t>Etikah</w:t>
            </w:r>
            <w:proofErr w:type="spellEnd"/>
            <w:r w:rsidRPr="000401EE">
              <w:rPr>
                <w:sz w:val="18"/>
                <w:szCs w:val="18"/>
                <w:lang w:eastAsia="zh-CN"/>
              </w:rPr>
              <w:t xml:space="preserve"> Karyani</w:t>
            </w:r>
          </w:p>
        </w:tc>
        <w:tc>
          <w:tcPr>
            <w:tcW w:w="2574" w:type="dxa"/>
            <w:vAlign w:val="center"/>
          </w:tcPr>
          <w:p w14:paraId="54084969" w14:textId="2D45C36A" w:rsidR="006A35B6" w:rsidRPr="000401EE" w:rsidRDefault="006F18BA" w:rsidP="001F3E4F">
            <w:pPr>
              <w:pStyle w:val="Paper-Title"/>
              <w:jc w:val="left"/>
              <w:rPr>
                <w:sz w:val="18"/>
                <w:szCs w:val="18"/>
                <w:lang w:eastAsia="zh-CN"/>
              </w:rPr>
            </w:pPr>
            <w:r w:rsidRPr="000401EE">
              <w:rPr>
                <w:sz w:val="18"/>
                <w:szCs w:val="18"/>
                <w:lang w:eastAsia="zh-CN"/>
              </w:rPr>
              <w:t>Dr.</w:t>
            </w:r>
          </w:p>
        </w:tc>
        <w:tc>
          <w:tcPr>
            <w:tcW w:w="2574" w:type="dxa"/>
            <w:vAlign w:val="center"/>
          </w:tcPr>
          <w:p w14:paraId="5CF520FA" w14:textId="42F7AB50" w:rsidR="006A35B6" w:rsidRPr="000401EE" w:rsidRDefault="006F18BA" w:rsidP="001F3E4F">
            <w:pPr>
              <w:pStyle w:val="Paper-Title"/>
              <w:jc w:val="left"/>
              <w:rPr>
                <w:sz w:val="18"/>
                <w:szCs w:val="18"/>
                <w:lang w:eastAsia="zh-CN"/>
              </w:rPr>
            </w:pPr>
            <w:r w:rsidRPr="000401EE">
              <w:rPr>
                <w:sz w:val="18"/>
                <w:szCs w:val="18"/>
                <w:lang w:eastAsia="zh-CN"/>
              </w:rPr>
              <w:t>Ris</w:t>
            </w:r>
            <w:r w:rsidR="000401EE">
              <w:rPr>
                <w:sz w:val="18"/>
                <w:szCs w:val="18"/>
                <w:lang w:eastAsia="zh-CN"/>
              </w:rPr>
              <w:t>k</w:t>
            </w:r>
            <w:r w:rsidRPr="000401EE">
              <w:rPr>
                <w:sz w:val="18"/>
                <w:szCs w:val="18"/>
                <w:lang w:eastAsia="zh-CN"/>
              </w:rPr>
              <w:t xml:space="preserve"> management, financial sustainability, governance</w:t>
            </w:r>
          </w:p>
        </w:tc>
        <w:tc>
          <w:tcPr>
            <w:tcW w:w="2574" w:type="dxa"/>
            <w:vAlign w:val="center"/>
          </w:tcPr>
          <w:p w14:paraId="42FEFCDF" w14:textId="470F572B" w:rsidR="006A35B6" w:rsidRPr="000401EE" w:rsidRDefault="001F3E4F" w:rsidP="001F3E4F">
            <w:pPr>
              <w:pStyle w:val="Paper-Title"/>
              <w:jc w:val="left"/>
              <w:rPr>
                <w:sz w:val="18"/>
                <w:szCs w:val="18"/>
                <w:lang w:eastAsia="zh-CN"/>
              </w:rPr>
            </w:pPr>
            <w:r>
              <w:rPr>
                <w:sz w:val="18"/>
                <w:szCs w:val="18"/>
                <w:lang w:eastAsia="zh-CN"/>
              </w:rPr>
              <w:t>e</w:t>
            </w:r>
            <w:r w:rsidR="006F18BA" w:rsidRPr="000401EE">
              <w:rPr>
                <w:sz w:val="18"/>
                <w:szCs w:val="18"/>
                <w:lang w:eastAsia="zh-CN"/>
              </w:rPr>
              <w:t>tika.karyani@ibs.ac.id</w:t>
            </w:r>
          </w:p>
        </w:tc>
      </w:tr>
      <w:tr w:rsidR="006F18BA" w:rsidRPr="000401EE" w14:paraId="6C4531EC" w14:textId="77777777" w:rsidTr="001F3E4F">
        <w:tc>
          <w:tcPr>
            <w:tcW w:w="2574" w:type="dxa"/>
            <w:vAlign w:val="center"/>
          </w:tcPr>
          <w:p w14:paraId="3998B2BE" w14:textId="30A6499F" w:rsidR="006A35B6" w:rsidRPr="000401EE" w:rsidRDefault="001F3E4F" w:rsidP="001F3E4F">
            <w:pPr>
              <w:pStyle w:val="Paper-Title"/>
              <w:jc w:val="left"/>
              <w:rPr>
                <w:sz w:val="18"/>
                <w:szCs w:val="18"/>
                <w:lang w:eastAsia="zh-CN"/>
              </w:rPr>
            </w:pPr>
            <w:r w:rsidRPr="001F3E4F">
              <w:rPr>
                <w:sz w:val="18"/>
                <w:szCs w:val="18"/>
                <w:lang w:eastAsia="zh-CN"/>
              </w:rPr>
              <w:t xml:space="preserve">Vina </w:t>
            </w:r>
            <w:proofErr w:type="spellStart"/>
            <w:r w:rsidRPr="001F3E4F">
              <w:rPr>
                <w:sz w:val="18"/>
                <w:szCs w:val="18"/>
                <w:lang w:eastAsia="zh-CN"/>
              </w:rPr>
              <w:t>Maulina</w:t>
            </w:r>
            <w:proofErr w:type="spellEnd"/>
          </w:p>
        </w:tc>
        <w:tc>
          <w:tcPr>
            <w:tcW w:w="2574" w:type="dxa"/>
            <w:vAlign w:val="center"/>
          </w:tcPr>
          <w:p w14:paraId="320E07F4" w14:textId="0CA4CE53" w:rsidR="006A35B6" w:rsidRPr="000401EE" w:rsidRDefault="001F3E4F" w:rsidP="001F3E4F">
            <w:pPr>
              <w:pStyle w:val="Paper-Title"/>
              <w:jc w:val="left"/>
              <w:rPr>
                <w:sz w:val="18"/>
                <w:szCs w:val="18"/>
                <w:lang w:eastAsia="zh-CN"/>
              </w:rPr>
            </w:pPr>
            <w:r>
              <w:rPr>
                <w:sz w:val="18"/>
                <w:szCs w:val="18"/>
                <w:lang w:eastAsia="zh-CN"/>
              </w:rPr>
              <w:t>Bachelor candidate</w:t>
            </w:r>
          </w:p>
        </w:tc>
        <w:tc>
          <w:tcPr>
            <w:tcW w:w="2574" w:type="dxa"/>
            <w:vAlign w:val="center"/>
          </w:tcPr>
          <w:p w14:paraId="5F53E8D1" w14:textId="169D68F0" w:rsidR="006A35B6" w:rsidRPr="000401EE" w:rsidRDefault="001F3E4F" w:rsidP="001F3E4F">
            <w:pPr>
              <w:pStyle w:val="Paper-Title"/>
              <w:jc w:val="left"/>
              <w:rPr>
                <w:sz w:val="18"/>
                <w:szCs w:val="18"/>
                <w:lang w:eastAsia="zh-CN"/>
              </w:rPr>
            </w:pPr>
            <w:r>
              <w:rPr>
                <w:sz w:val="18"/>
                <w:szCs w:val="18"/>
                <w:lang w:eastAsia="zh-CN"/>
              </w:rPr>
              <w:t>Financial sustainability</w:t>
            </w:r>
          </w:p>
        </w:tc>
        <w:tc>
          <w:tcPr>
            <w:tcW w:w="2574" w:type="dxa"/>
            <w:vAlign w:val="center"/>
          </w:tcPr>
          <w:p w14:paraId="31177736" w14:textId="7F9685CC" w:rsidR="006A35B6" w:rsidRPr="000401EE" w:rsidRDefault="00345695" w:rsidP="001F3E4F">
            <w:pPr>
              <w:pStyle w:val="Paper-Title"/>
              <w:jc w:val="left"/>
              <w:rPr>
                <w:sz w:val="18"/>
                <w:szCs w:val="18"/>
                <w:lang w:eastAsia="zh-CN"/>
              </w:rPr>
            </w:pPr>
            <w:r w:rsidRPr="00345695">
              <w:rPr>
                <w:sz w:val="18"/>
                <w:szCs w:val="18"/>
                <w:lang w:eastAsia="zh-CN"/>
              </w:rPr>
              <w:t>vinamaulina955@gmail.com</w:t>
            </w:r>
          </w:p>
        </w:tc>
      </w:tr>
    </w:tbl>
    <w:p w14:paraId="35992CBC" w14:textId="77777777" w:rsidR="006A35B6" w:rsidRPr="006A35B6" w:rsidRDefault="006A35B6" w:rsidP="006A35B6">
      <w:pPr>
        <w:pStyle w:val="Paper-Title"/>
        <w:jc w:val="left"/>
        <w:rPr>
          <w:color w:val="FF0000"/>
          <w:sz w:val="18"/>
          <w:szCs w:val="18"/>
          <w:lang w:eastAsia="zh-CN"/>
        </w:rPr>
      </w:pPr>
      <w:r w:rsidRPr="006A35B6">
        <w:rPr>
          <w:sz w:val="18"/>
          <w:szCs w:val="18"/>
          <w:lang w:eastAsia="zh-CN"/>
        </w:rPr>
        <w:t xml:space="preserve">*This form helps us to understand your paper better, </w:t>
      </w:r>
      <w:r w:rsidRPr="006A35B6">
        <w:rPr>
          <w:color w:val="FF0000"/>
          <w:sz w:val="18"/>
          <w:szCs w:val="18"/>
          <w:lang w:eastAsia="zh-CN"/>
        </w:rPr>
        <w:t>the form itself will not be published.</w:t>
      </w:r>
    </w:p>
    <w:p w14:paraId="505607D4" w14:textId="77777777" w:rsidR="006A35B6" w:rsidRPr="006A35B6" w:rsidRDefault="006A35B6" w:rsidP="006A35B6">
      <w:pPr>
        <w:pStyle w:val="Paper-Title"/>
        <w:jc w:val="left"/>
        <w:rPr>
          <w:sz w:val="18"/>
          <w:szCs w:val="18"/>
          <w:lang w:eastAsia="zh-CN"/>
        </w:rPr>
      </w:pPr>
    </w:p>
    <w:p w14:paraId="0F774090" w14:textId="77777777" w:rsidR="009731C3" w:rsidRDefault="006A35B6" w:rsidP="009731C3">
      <w:pPr>
        <w:pStyle w:val="Paper-Title"/>
        <w:jc w:val="left"/>
        <w:rPr>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professor</w:t>
      </w:r>
    </w:p>
    <w:p w14:paraId="6CF4810B" w14:textId="77777777" w:rsidR="009731C3" w:rsidRDefault="009731C3" w:rsidP="009731C3">
      <w:pPr>
        <w:pStyle w:val="Paper-Title"/>
        <w:jc w:val="left"/>
        <w:rPr>
          <w:sz w:val="18"/>
          <w:szCs w:val="18"/>
          <w:lang w:eastAsia="zh-CN"/>
        </w:rPr>
      </w:pPr>
    </w:p>
    <w:p w14:paraId="7B076DB1" w14:textId="77777777" w:rsidR="009731C3" w:rsidRPr="009731C3" w:rsidRDefault="009731C3" w:rsidP="009731C3">
      <w:pPr>
        <w:pStyle w:val="Paper-Title"/>
        <w:jc w:val="left"/>
        <w:rPr>
          <w:sz w:val="18"/>
          <w:szCs w:val="18"/>
          <w:lang w:eastAsia="zh-CN"/>
        </w:rPr>
      </w:pPr>
    </w:p>
    <w:p w14:paraId="67081250" w14:textId="77777777" w:rsidR="009731C3" w:rsidRPr="009731C3" w:rsidRDefault="009731C3" w:rsidP="009731C3">
      <w:pPr>
        <w:pStyle w:val="Paper-Title"/>
        <w:spacing w:after="60"/>
        <w:jc w:val="left"/>
        <w:rPr>
          <w:b w:val="0"/>
          <w:sz w:val="24"/>
          <w:szCs w:val="24"/>
        </w:rPr>
      </w:pPr>
      <w:r w:rsidRPr="009731C3">
        <w:rPr>
          <w:b w:val="0"/>
          <w:sz w:val="24"/>
          <w:szCs w:val="24"/>
          <w:lang w:val="id-ID"/>
        </w:rPr>
        <w:t xml:space="preserve">Source : </w:t>
      </w:r>
      <w:r w:rsidRPr="009731C3">
        <w:rPr>
          <w:b w:val="0"/>
          <w:sz w:val="24"/>
          <w:szCs w:val="24"/>
        </w:rPr>
        <w:t>ACM Word Template for SIG Site</w:t>
      </w:r>
    </w:p>
    <w:p w14:paraId="3BB3805F" w14:textId="77777777" w:rsidR="009731C3" w:rsidRPr="00C361E5" w:rsidRDefault="009731C3">
      <w:pPr>
        <w:pStyle w:val="Paper-Title"/>
        <w:rPr>
          <w:lang w:eastAsia="zh-CN"/>
        </w:rPr>
      </w:pPr>
    </w:p>
    <w:sectPr w:rsidR="009731C3" w:rsidRPr="00C361E5"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AE96C" w14:textId="77777777" w:rsidR="00BC3E54" w:rsidRDefault="00BC3E54">
      <w:r>
        <w:separator/>
      </w:r>
    </w:p>
  </w:endnote>
  <w:endnote w:type="continuationSeparator" w:id="0">
    <w:p w14:paraId="1AF0D735" w14:textId="77777777" w:rsidR="00BC3E54" w:rsidRDefault="00BC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altName w:val="Segoe UI"/>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7D8F1" w14:textId="77777777" w:rsidR="006F18BA" w:rsidRDefault="006F18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1A4BF3" w14:textId="77777777" w:rsidR="006F18BA" w:rsidRDefault="006F1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E460F" w14:textId="77777777" w:rsidR="00BC3E54" w:rsidRDefault="00BC3E54">
      <w:r>
        <w:separator/>
      </w:r>
    </w:p>
  </w:footnote>
  <w:footnote w:type="continuationSeparator" w:id="0">
    <w:p w14:paraId="50D3C0EF" w14:textId="77777777" w:rsidR="00BC3E54" w:rsidRDefault="00BC3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CF"/>
    <w:rsid w:val="00016D54"/>
    <w:rsid w:val="000355F6"/>
    <w:rsid w:val="000401EE"/>
    <w:rsid w:val="0009634A"/>
    <w:rsid w:val="000A6043"/>
    <w:rsid w:val="0010123A"/>
    <w:rsid w:val="001378B9"/>
    <w:rsid w:val="001578EE"/>
    <w:rsid w:val="00172159"/>
    <w:rsid w:val="0018557B"/>
    <w:rsid w:val="001E4A9D"/>
    <w:rsid w:val="001F3E4F"/>
    <w:rsid w:val="00206035"/>
    <w:rsid w:val="00222402"/>
    <w:rsid w:val="00267305"/>
    <w:rsid w:val="00276401"/>
    <w:rsid w:val="0027698B"/>
    <w:rsid w:val="002D2C9C"/>
    <w:rsid w:val="002D6A57"/>
    <w:rsid w:val="00345695"/>
    <w:rsid w:val="00375299"/>
    <w:rsid w:val="00377A65"/>
    <w:rsid w:val="00397B11"/>
    <w:rsid w:val="003B4153"/>
    <w:rsid w:val="003B6422"/>
    <w:rsid w:val="003E3258"/>
    <w:rsid w:val="00433B20"/>
    <w:rsid w:val="00441553"/>
    <w:rsid w:val="00474255"/>
    <w:rsid w:val="004C1E7A"/>
    <w:rsid w:val="004C2F03"/>
    <w:rsid w:val="004D68FC"/>
    <w:rsid w:val="00571CED"/>
    <w:rsid w:val="005842F9"/>
    <w:rsid w:val="005B6A93"/>
    <w:rsid w:val="005D28A1"/>
    <w:rsid w:val="00603A4D"/>
    <w:rsid w:val="0061710B"/>
    <w:rsid w:val="0062758A"/>
    <w:rsid w:val="00627AA8"/>
    <w:rsid w:val="0063637C"/>
    <w:rsid w:val="0068547D"/>
    <w:rsid w:val="0069356A"/>
    <w:rsid w:val="006945CC"/>
    <w:rsid w:val="006A044B"/>
    <w:rsid w:val="006A1FA3"/>
    <w:rsid w:val="006A35B6"/>
    <w:rsid w:val="006D451E"/>
    <w:rsid w:val="006F18BA"/>
    <w:rsid w:val="007309A1"/>
    <w:rsid w:val="00737114"/>
    <w:rsid w:val="00787583"/>
    <w:rsid w:val="00793DF2"/>
    <w:rsid w:val="007C08BC"/>
    <w:rsid w:val="007C08CF"/>
    <w:rsid w:val="007C3600"/>
    <w:rsid w:val="008536AF"/>
    <w:rsid w:val="00872DF2"/>
    <w:rsid w:val="008741CE"/>
    <w:rsid w:val="0087467E"/>
    <w:rsid w:val="008A2167"/>
    <w:rsid w:val="008B0897"/>
    <w:rsid w:val="008B197E"/>
    <w:rsid w:val="008B1A77"/>
    <w:rsid w:val="008F7414"/>
    <w:rsid w:val="00941EFD"/>
    <w:rsid w:val="009731C3"/>
    <w:rsid w:val="009B701B"/>
    <w:rsid w:val="009D7B5B"/>
    <w:rsid w:val="009F334B"/>
    <w:rsid w:val="00A105B5"/>
    <w:rsid w:val="00A60B73"/>
    <w:rsid w:val="00A66E61"/>
    <w:rsid w:val="00A83E39"/>
    <w:rsid w:val="00AA718F"/>
    <w:rsid w:val="00AE2664"/>
    <w:rsid w:val="00B44CFB"/>
    <w:rsid w:val="00B606DF"/>
    <w:rsid w:val="00B61F28"/>
    <w:rsid w:val="00B63F89"/>
    <w:rsid w:val="00B91AA9"/>
    <w:rsid w:val="00BC3E54"/>
    <w:rsid w:val="00BC4C60"/>
    <w:rsid w:val="00BF3697"/>
    <w:rsid w:val="00C361E5"/>
    <w:rsid w:val="00C7584B"/>
    <w:rsid w:val="00C80BBE"/>
    <w:rsid w:val="00CB4646"/>
    <w:rsid w:val="00CC70B8"/>
    <w:rsid w:val="00CD7EC6"/>
    <w:rsid w:val="00D3292B"/>
    <w:rsid w:val="00DA70EA"/>
    <w:rsid w:val="00DB7AD4"/>
    <w:rsid w:val="00E26518"/>
    <w:rsid w:val="00E3178B"/>
    <w:rsid w:val="00EC1C20"/>
    <w:rsid w:val="00EC1F6A"/>
    <w:rsid w:val="00EC3E10"/>
    <w:rsid w:val="00ED3D93"/>
    <w:rsid w:val="00F34659"/>
    <w:rsid w:val="00F50B82"/>
    <w:rsid w:val="00F5619A"/>
    <w:rsid w:val="00F9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3E651"/>
  <w15:docId w15:val="{C5C93866-6C5F-4766-960D-67F700B2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link w:val="BodyTextChar"/>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styleId="Strong">
    <w:name w:val="Strong"/>
    <w:uiPriority w:val="22"/>
    <w:qFormat/>
    <w:rsid w:val="00B606DF"/>
    <w:rPr>
      <w:rFonts w:cs="Times New Roman"/>
      <w:b/>
      <w:bCs/>
    </w:rPr>
  </w:style>
  <w:style w:type="paragraph" w:customStyle="1" w:styleId="bulletlist">
    <w:name w:val="bullet list"/>
    <w:basedOn w:val="BodyText"/>
    <w:rsid w:val="006A35B6"/>
    <w:pPr>
      <w:framePr w:w="0" w:hRule="auto" w:hSpace="0" w:wrap="auto" w:vAnchor="margin" w:hAnchor="text" w:xAlign="left" w:yAlign="inline" w:anchorLock="0"/>
      <w:numPr>
        <w:numId w:val="3"/>
      </w:numPr>
      <w:spacing w:line="228" w:lineRule="auto"/>
    </w:pPr>
    <w:rPr>
      <w:rFonts w:eastAsia="SimSun"/>
      <w:spacing w:val="-1"/>
      <w:sz w:val="20"/>
    </w:rPr>
  </w:style>
  <w:style w:type="table" w:styleId="TableGrid">
    <w:name w:val="Table Grid"/>
    <w:basedOn w:val="TableNormal"/>
    <w:rsid w:val="006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6A35B6"/>
    <w:rPr>
      <w:sz w:val="16"/>
    </w:rPr>
  </w:style>
  <w:style w:type="character" w:customStyle="1" w:styleId="ListParagraphChar">
    <w:name w:val="List Paragraph Char"/>
    <w:aliases w:val="Bab 1 Char"/>
    <w:link w:val="ListParagraph"/>
    <w:uiPriority w:val="1"/>
    <w:locked/>
    <w:rsid w:val="00A83E39"/>
  </w:style>
  <w:style w:type="paragraph" w:styleId="ListParagraph">
    <w:name w:val="List Paragraph"/>
    <w:aliases w:val="Bab 1"/>
    <w:basedOn w:val="Normal"/>
    <w:link w:val="ListParagraphChar"/>
    <w:uiPriority w:val="1"/>
    <w:qFormat/>
    <w:rsid w:val="00A83E39"/>
    <w:pPr>
      <w:spacing w:after="200" w:line="276" w:lineRule="auto"/>
      <w:ind w:left="720"/>
      <w:contextualSpacing/>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9185">
      <w:bodyDiv w:val="1"/>
      <w:marLeft w:val="0"/>
      <w:marRight w:val="0"/>
      <w:marTop w:val="0"/>
      <w:marBottom w:val="0"/>
      <w:divBdr>
        <w:top w:val="none" w:sz="0" w:space="0" w:color="auto"/>
        <w:left w:val="none" w:sz="0" w:space="0" w:color="auto"/>
        <w:bottom w:val="none" w:sz="0" w:space="0" w:color="auto"/>
        <w:right w:val="none" w:sz="0" w:space="0" w:color="auto"/>
      </w:divBdr>
    </w:div>
    <w:div w:id="104203358">
      <w:bodyDiv w:val="1"/>
      <w:marLeft w:val="0"/>
      <w:marRight w:val="0"/>
      <w:marTop w:val="0"/>
      <w:marBottom w:val="0"/>
      <w:divBdr>
        <w:top w:val="none" w:sz="0" w:space="0" w:color="auto"/>
        <w:left w:val="none" w:sz="0" w:space="0" w:color="auto"/>
        <w:bottom w:val="none" w:sz="0" w:space="0" w:color="auto"/>
        <w:right w:val="none" w:sz="0" w:space="0" w:color="auto"/>
      </w:divBdr>
    </w:div>
    <w:div w:id="219100715">
      <w:bodyDiv w:val="1"/>
      <w:marLeft w:val="0"/>
      <w:marRight w:val="0"/>
      <w:marTop w:val="0"/>
      <w:marBottom w:val="0"/>
      <w:divBdr>
        <w:top w:val="none" w:sz="0" w:space="0" w:color="auto"/>
        <w:left w:val="none" w:sz="0" w:space="0" w:color="auto"/>
        <w:bottom w:val="none" w:sz="0" w:space="0" w:color="auto"/>
        <w:right w:val="none" w:sz="0" w:space="0" w:color="auto"/>
      </w:divBdr>
    </w:div>
    <w:div w:id="319161589">
      <w:bodyDiv w:val="1"/>
      <w:marLeft w:val="0"/>
      <w:marRight w:val="0"/>
      <w:marTop w:val="0"/>
      <w:marBottom w:val="0"/>
      <w:divBdr>
        <w:top w:val="none" w:sz="0" w:space="0" w:color="auto"/>
        <w:left w:val="none" w:sz="0" w:space="0" w:color="auto"/>
        <w:bottom w:val="none" w:sz="0" w:space="0" w:color="auto"/>
        <w:right w:val="none" w:sz="0" w:space="0" w:color="auto"/>
      </w:divBdr>
    </w:div>
    <w:div w:id="1165895847">
      <w:bodyDiv w:val="1"/>
      <w:marLeft w:val="0"/>
      <w:marRight w:val="0"/>
      <w:marTop w:val="0"/>
      <w:marBottom w:val="0"/>
      <w:divBdr>
        <w:top w:val="none" w:sz="0" w:space="0" w:color="auto"/>
        <w:left w:val="none" w:sz="0" w:space="0" w:color="auto"/>
        <w:bottom w:val="none" w:sz="0" w:space="0" w:color="auto"/>
        <w:right w:val="none" w:sz="0" w:space="0" w:color="auto"/>
      </w:divBdr>
    </w:div>
    <w:div w:id="1570799014">
      <w:bodyDiv w:val="1"/>
      <w:marLeft w:val="0"/>
      <w:marRight w:val="0"/>
      <w:marTop w:val="0"/>
      <w:marBottom w:val="0"/>
      <w:divBdr>
        <w:top w:val="none" w:sz="0" w:space="0" w:color="auto"/>
        <w:left w:val="none" w:sz="0" w:space="0" w:color="auto"/>
        <w:bottom w:val="none" w:sz="0" w:space="0" w:color="auto"/>
        <w:right w:val="none" w:sz="0" w:space="0" w:color="auto"/>
      </w:divBdr>
    </w:div>
    <w:div w:id="164314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5690</Words>
  <Characters>32435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38049</CharactersWithSpaces>
  <SharedDoc>false</SharedDoc>
  <HLinks>
    <vt:vector size="48" baseType="variant">
      <vt:variant>
        <vt:i4>3473518</vt:i4>
      </vt:variant>
      <vt:variant>
        <vt:i4>24</vt:i4>
      </vt:variant>
      <vt:variant>
        <vt:i4>0</vt:i4>
      </vt:variant>
      <vt:variant>
        <vt:i4>5</vt:i4>
      </vt:variant>
      <vt:variant>
        <vt:lpwstr>http://doi.acm.org/10.1145/90417.90738</vt:lpwstr>
      </vt:variant>
      <vt:variant>
        <vt:lpwstr/>
      </vt:variant>
      <vt:variant>
        <vt:i4>3735607</vt:i4>
      </vt:variant>
      <vt:variant>
        <vt:i4>21</vt:i4>
      </vt:variant>
      <vt:variant>
        <vt:i4>0</vt:i4>
      </vt:variant>
      <vt:variant>
        <vt:i4>5</vt:i4>
      </vt:variant>
      <vt:variant>
        <vt:lpwstr>http://dx.doi.org/10.1016/j.jss.2005.05.030</vt:lpwstr>
      </vt:variant>
      <vt:variant>
        <vt:lpwstr/>
      </vt:variant>
      <vt:variant>
        <vt:i4>1310784</vt:i4>
      </vt:variant>
      <vt:variant>
        <vt:i4>18</vt:i4>
      </vt:variant>
      <vt:variant>
        <vt:i4>0</vt:i4>
      </vt:variant>
      <vt:variant>
        <vt:i4>5</vt:i4>
      </vt:variant>
      <vt:variant>
        <vt:lpwstr>http://doi.acm.org/10.1145/964696.964697</vt:lpwstr>
      </vt:variant>
      <vt:variant>
        <vt:lpwstr/>
      </vt:variant>
      <vt:variant>
        <vt:i4>1310793</vt:i4>
      </vt:variant>
      <vt:variant>
        <vt:i4>15</vt:i4>
      </vt:variant>
      <vt:variant>
        <vt:i4>0</vt:i4>
      </vt:variant>
      <vt:variant>
        <vt:i4>5</vt:i4>
      </vt:variant>
      <vt:variant>
        <vt:lpwstr>http://doi.acm.org/10.1145/332040.332491</vt:lpwstr>
      </vt:variant>
      <vt:variant>
        <vt:lpwstr/>
      </vt:variant>
      <vt:variant>
        <vt:i4>2293880</vt:i4>
      </vt:variant>
      <vt:variant>
        <vt:i4>12</vt:i4>
      </vt:variant>
      <vt:variant>
        <vt:i4>0</vt:i4>
      </vt:variant>
      <vt:variant>
        <vt:i4>5</vt:i4>
      </vt:variant>
      <vt:variant>
        <vt:lpwstr>http://doi.acm.org/10.1145/161468.16147</vt:lpwstr>
      </vt:variant>
      <vt:variant>
        <vt:lpwstr/>
      </vt:variant>
      <vt:variant>
        <vt:i4>2424948</vt:i4>
      </vt:variant>
      <vt:variant>
        <vt:i4>9</vt:i4>
      </vt:variant>
      <vt:variant>
        <vt:i4>0</vt:i4>
      </vt:variant>
      <vt:variant>
        <vt:i4>5</vt:i4>
      </vt:variant>
      <vt:variant>
        <vt:lpwstr>http://library.caltech.edu/reference/abbreviations/</vt:lpwstr>
      </vt:variant>
      <vt:variant>
        <vt:lpwstr/>
      </vt:variant>
      <vt:variant>
        <vt:i4>2097211</vt:i4>
      </vt:variant>
      <vt:variant>
        <vt:i4>3</vt:i4>
      </vt:variant>
      <vt:variant>
        <vt:i4>0</vt:i4>
      </vt:variant>
      <vt:variant>
        <vt:i4>5</vt:i4>
      </vt:variant>
      <vt:variant>
        <vt:lpwstr>CCS-HOWTO-v5-2Sep2014.docx</vt:lpwstr>
      </vt:variant>
      <vt:variant>
        <vt:lpwstr/>
      </vt:variant>
      <vt:variant>
        <vt:i4>5636168</vt:i4>
      </vt:variant>
      <vt:variant>
        <vt:i4>0</vt:i4>
      </vt:variant>
      <vt:variant>
        <vt:i4>0</vt:i4>
      </vt:variant>
      <vt:variant>
        <vt:i4>5</vt:i4>
      </vt:variant>
      <vt:variant>
        <vt:lpwstr>http://www.acm.org/about/class/class/2012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Etika Karyani</cp:lastModifiedBy>
  <cp:revision>3</cp:revision>
  <cp:lastPrinted>2011-01-13T15:51:00Z</cp:lastPrinted>
  <dcterms:created xsi:type="dcterms:W3CDTF">2020-07-25T15:28:00Z</dcterms:created>
  <dcterms:modified xsi:type="dcterms:W3CDTF">2020-07-31T13:16:00Z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