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7E2" w:rsidRDefault="005E57E2" w:rsidP="005E57E2">
      <w:pPr>
        <w:pStyle w:val="Heading1"/>
        <w:numPr>
          <w:ilvl w:val="0"/>
          <w:numId w:val="0"/>
        </w:numPr>
        <w:tabs>
          <w:tab w:val="left" w:pos="720"/>
        </w:tabs>
        <w:rPr>
          <w:b/>
          <w:sz w:val="24"/>
          <w:szCs w:val="24"/>
        </w:rPr>
      </w:pPr>
      <w:r>
        <w:rPr>
          <w:b/>
          <w:sz w:val="24"/>
          <w:szCs w:val="24"/>
        </w:rPr>
        <w:t>BAB I</w:t>
      </w:r>
    </w:p>
    <w:p w:rsidR="00A83A8E" w:rsidRDefault="005E57E2" w:rsidP="005E57E2">
      <w:pPr>
        <w:pStyle w:val="Heading1"/>
        <w:numPr>
          <w:ilvl w:val="0"/>
          <w:numId w:val="0"/>
        </w:numPr>
        <w:tabs>
          <w:tab w:val="left" w:pos="720"/>
        </w:tabs>
        <w:rPr>
          <w:b/>
          <w:sz w:val="24"/>
          <w:szCs w:val="24"/>
        </w:rPr>
      </w:pPr>
      <w:r>
        <w:rPr>
          <w:b/>
          <w:sz w:val="24"/>
          <w:szCs w:val="24"/>
        </w:rPr>
        <w:t>PENDAHULUAN</w:t>
      </w:r>
    </w:p>
    <w:p w:rsidR="00216681" w:rsidRDefault="00216681" w:rsidP="00216681">
      <w:pPr>
        <w:rPr>
          <w:lang w:eastAsia="en-US"/>
        </w:rPr>
      </w:pPr>
    </w:p>
    <w:p w:rsidR="00216681" w:rsidRDefault="00216681" w:rsidP="00216681">
      <w:pPr>
        <w:rPr>
          <w:lang w:eastAsia="en-US"/>
        </w:rPr>
      </w:pPr>
    </w:p>
    <w:p w:rsidR="00216681" w:rsidRPr="00216681" w:rsidRDefault="00216681" w:rsidP="00216681">
      <w:pPr>
        <w:rPr>
          <w:lang w:eastAsia="en-US"/>
        </w:rPr>
      </w:pPr>
    </w:p>
    <w:p w:rsidR="00216681" w:rsidRPr="00216681" w:rsidRDefault="00216681" w:rsidP="00216681">
      <w:pPr>
        <w:rPr>
          <w:b/>
          <w:lang w:eastAsia="en-US"/>
        </w:rPr>
      </w:pPr>
      <w:r w:rsidRPr="00216681">
        <w:rPr>
          <w:b/>
          <w:lang w:eastAsia="en-US"/>
        </w:rPr>
        <w:t>1.1. Latar Belakang Masalah</w:t>
      </w:r>
    </w:p>
    <w:p w:rsidR="00A83A8E" w:rsidRDefault="00A83A8E" w:rsidP="00A83A8E">
      <w:pPr>
        <w:widowControl w:val="0"/>
        <w:ind w:firstLine="202"/>
        <w:jc w:val="both"/>
        <w:rPr>
          <w:rFonts w:eastAsia="Times New Roman"/>
          <w:color w:val="000000"/>
          <w:sz w:val="22"/>
          <w:szCs w:val="22"/>
        </w:rPr>
      </w:pPr>
    </w:p>
    <w:p w:rsidR="00445D68" w:rsidRDefault="00A83A8E" w:rsidP="00C7068F">
      <w:pPr>
        <w:widowControl w:val="0"/>
        <w:spacing w:line="480" w:lineRule="auto"/>
        <w:ind w:firstLine="720"/>
        <w:jc w:val="both"/>
        <w:rPr>
          <w:rFonts w:eastAsia="Times New Roman"/>
          <w:color w:val="000000"/>
        </w:rPr>
      </w:pPr>
      <w:r>
        <w:rPr>
          <w:rFonts w:eastAsia="Times New Roman"/>
          <w:color w:val="000000"/>
        </w:rPr>
        <w:t xml:space="preserve">Investasi adalah komitmen untuk mengorbankan konsumsi yang dilakukan saat ini dengan tujuan memperbesar konsumsi dimasa datang </w:t>
      </w:r>
      <w:r>
        <w:rPr>
          <w:rFonts w:eastAsia="Times New Roman"/>
          <w:color w:val="000000"/>
        </w:rPr>
        <w:fldChar w:fldCharType="begin" w:fldLock="1"/>
      </w:r>
      <w:r>
        <w:rPr>
          <w:rFonts w:eastAsia="Times New Roman"/>
          <w:color w:val="000000"/>
        </w:rPr>
        <w:instrText>ADDIN CSL_CITATION {"citationItems":[{"id":"ITEM-1","itemData":{"author":[{"dropping-particle":"","family":"Tandelilin","given":"Eduardus","non-dropping-particle":"","parse-names":false,"suffix":""}],"edition":"Edisi Pert","id":"ITEM-1","issued":{"date-parts":[["2010"]]},"number-of-pages":"1-503","publisher":"Kanisius (Anggota IKAPI)","publisher-place":"Yogyakarta","title":"Portofolio dan Investasi","type":"book"},"uris":["http://www.mendeley.com/documents/?uuid=3f7f3451-0dd7-4eff-914f-3bf7d50107e3"]}],"mendeley":{"formattedCitation":"(Tandelilin, 2010)","plainTextFormattedCitation":"(Tandelilin, 2010)","previouslyFormattedCitation":"(Tandelilin, 2010)"},"properties":{"noteIndex":0},"schema":"https://github.com/citation-style-language/schema/raw/master/csl-citation.json"}</w:instrText>
      </w:r>
      <w:r>
        <w:rPr>
          <w:rFonts w:eastAsia="Times New Roman"/>
          <w:color w:val="000000"/>
        </w:rPr>
        <w:fldChar w:fldCharType="separate"/>
      </w:r>
      <w:r>
        <w:rPr>
          <w:rFonts w:eastAsia="Times New Roman"/>
          <w:noProof/>
          <w:color w:val="000000"/>
        </w:rPr>
        <w:t>(Tandelilin, 2010</w:t>
      </w:r>
      <w:r w:rsidR="00445D68">
        <w:rPr>
          <w:rFonts w:eastAsia="Times New Roman"/>
          <w:noProof/>
          <w:color w:val="000000"/>
        </w:rPr>
        <w:t>, halaman 2</w:t>
      </w:r>
      <w:r>
        <w:rPr>
          <w:rFonts w:eastAsia="Times New Roman"/>
          <w:noProof/>
          <w:color w:val="000000"/>
        </w:rPr>
        <w:t>)</w:t>
      </w:r>
      <w:r>
        <w:rPr>
          <w:rFonts w:eastAsia="Times New Roman"/>
          <w:color w:val="000000"/>
        </w:rPr>
        <w:fldChar w:fldCharType="end"/>
      </w:r>
      <w:r>
        <w:rPr>
          <w:rFonts w:eastAsia="Times New Roman"/>
          <w:color w:val="000000"/>
        </w:rPr>
        <w:t>. Investasi dapat berkaitan dengan pengalokasian beberapa sumber dana atau</w:t>
      </w:r>
      <w:r w:rsidR="00C7068F">
        <w:rPr>
          <w:rFonts w:eastAsia="Times New Roman"/>
          <w:color w:val="000000"/>
        </w:rPr>
        <w:t>pun asset lainnya pada asset rii</w:t>
      </w:r>
      <w:r>
        <w:rPr>
          <w:rFonts w:eastAsia="Times New Roman"/>
          <w:color w:val="000000"/>
        </w:rPr>
        <w:t>l ataupun asset finansial seperti saham, obligasi, dan surat berharga lainnya. Saham adalah salah satu asset finansial yang sering diguna</w:t>
      </w:r>
      <w:r w:rsidR="00445D68">
        <w:rPr>
          <w:rFonts w:eastAsia="Times New Roman"/>
          <w:color w:val="000000"/>
        </w:rPr>
        <w:t>kan dalam berinvestasi. S</w:t>
      </w:r>
      <w:r>
        <w:rPr>
          <w:rFonts w:eastAsia="Times New Roman"/>
          <w:color w:val="000000"/>
        </w:rPr>
        <w:t>aham adalah sertifikat yang menunjukkan bukti kepemilikan suatu perusahaan.</w:t>
      </w:r>
      <w:r w:rsidR="00445D68" w:rsidRPr="00445D68">
        <w:rPr>
          <w:rFonts w:eastAsia="Times New Roman"/>
          <w:color w:val="000000"/>
        </w:rPr>
        <w:t xml:space="preserve"> </w:t>
      </w:r>
      <w:r w:rsidR="00445D68">
        <w:rPr>
          <w:rFonts w:eastAsia="Times New Roman"/>
          <w:color w:val="000000"/>
        </w:rPr>
        <w:fldChar w:fldCharType="begin" w:fldLock="1"/>
      </w:r>
      <w:r w:rsidR="00445D68">
        <w:rPr>
          <w:rFonts w:eastAsia="Times New Roman"/>
          <w:color w:val="000000"/>
        </w:rPr>
        <w:instrText>ADDIN CSL_CITATION {"citationItems":[{"id":"ITEM-1","itemData":{"author":[{"dropping-particle":"","family":"Tandelilin","given":"Eduardus","non-dropping-particle":"","parse-names":false,"suffix":""}],"edition":"Edisi Pert","id":"ITEM-1","issued":{"date-parts":[["2010"]]},"number-of-pages":"1-503","publisher":"Kanisius (Anggota IKAPI)","publisher-place":"Yogyakarta","title":"Portofolio dan Investasi","type":"book"},"uris":["http://www.mendeley.com/documents/?uuid=3f7f3451-0dd7-4eff-914f-3bf7d50107e3"]}],"mendeley":{"formattedCitation":"(Tandelilin, 2010)","plainTextFormattedCitation":"(Tandelilin, 2010)","previouslyFormattedCitation":"(Tandelilin, 2010)"},"properties":{"noteIndex":0},"schema":"https://github.com/citation-style-language/schema/raw/master/csl-citation.json"}</w:instrText>
      </w:r>
      <w:r w:rsidR="00445D68">
        <w:rPr>
          <w:rFonts w:eastAsia="Times New Roman"/>
          <w:color w:val="000000"/>
        </w:rPr>
        <w:fldChar w:fldCharType="separate"/>
      </w:r>
      <w:r w:rsidR="00445D68">
        <w:rPr>
          <w:rFonts w:eastAsia="Times New Roman"/>
          <w:noProof/>
          <w:color w:val="000000"/>
        </w:rPr>
        <w:t>(Tandelilin, 2010, hal. 32)</w:t>
      </w:r>
      <w:r w:rsidR="00445D68">
        <w:rPr>
          <w:rFonts w:eastAsia="Times New Roman"/>
          <w:color w:val="000000"/>
        </w:rPr>
        <w:fldChar w:fldCharType="end"/>
      </w:r>
    </w:p>
    <w:p w:rsidR="00445D68" w:rsidRDefault="00A83A8E" w:rsidP="00C7068F">
      <w:pPr>
        <w:widowControl w:val="0"/>
        <w:spacing w:line="480" w:lineRule="auto"/>
        <w:ind w:firstLine="720"/>
        <w:jc w:val="both"/>
        <w:rPr>
          <w:rFonts w:eastAsia="Times New Roman"/>
          <w:color w:val="000000"/>
        </w:rPr>
      </w:pPr>
      <w:r>
        <w:t xml:space="preserve">Masyarakat mulai menyadari pentingnya berinvestasi, terlihat dari data pertumbuhan </w:t>
      </w:r>
      <w:r w:rsidRPr="00A90948">
        <w:rPr>
          <w:i/>
          <w:iCs/>
        </w:rPr>
        <w:t>Single Investor Identification</w:t>
      </w:r>
      <w:r>
        <w:rPr>
          <w:i/>
          <w:iCs/>
        </w:rPr>
        <w:t xml:space="preserve"> </w:t>
      </w:r>
      <w:r>
        <w:t xml:space="preserve">(SID) di </w:t>
      </w:r>
      <w:r>
        <w:rPr>
          <w:i/>
          <w:iCs/>
        </w:rPr>
        <w:t>website</w:t>
      </w:r>
      <w:r>
        <w:t xml:space="preserve"> resmi Kustodian Sentral Efek Indonesia (KSEI) yang menunjukkan pertumbuhan secara terus-menerus setiap tahunnya. Pertumbuhan terbesarpun terlihat pada tahun 2016 meningkat 105,97% dari tahun 2015.</w:t>
      </w:r>
    </w:p>
    <w:p w:rsidR="00445D68" w:rsidRDefault="00A83A8E" w:rsidP="00C7068F">
      <w:pPr>
        <w:widowControl w:val="0"/>
        <w:spacing w:line="480" w:lineRule="auto"/>
        <w:ind w:firstLine="720"/>
        <w:jc w:val="both"/>
        <w:rPr>
          <w:rFonts w:eastAsia="Times New Roman"/>
          <w:color w:val="000000"/>
        </w:rPr>
      </w:pPr>
      <w:r>
        <w:t>Individu yang melakukan investasi dengan berbagai risiko yang dihadapi, kh</w:t>
      </w:r>
      <w:r w:rsidR="00C7068F">
        <w:t>ususnya saham sebagai instrumen</w:t>
      </w:r>
      <w:r>
        <w:t xml:space="preserve"> investasi dengan risiko yang sangat besar. Pastinya menginginkan pengembalian yang besar pula dari investasinya. Setiap investor akan memperh</w:t>
      </w:r>
      <w:r w:rsidR="00DF476E">
        <w:t>itungkan kondisi ekonomi global</w:t>
      </w:r>
      <w:r>
        <w:t>, peluang pasar, profil risiko prusahaan, dan kebijakan yang diberlakukan oleh pemerintah.</w:t>
      </w:r>
    </w:p>
    <w:p w:rsidR="00445D68" w:rsidRDefault="00A83A8E" w:rsidP="00C7068F">
      <w:pPr>
        <w:widowControl w:val="0"/>
        <w:spacing w:line="480" w:lineRule="auto"/>
        <w:ind w:firstLine="720"/>
        <w:jc w:val="both"/>
      </w:pPr>
      <w:r>
        <w:t>Pada tanggal 30 Januari</w:t>
      </w:r>
      <w:r w:rsidR="00C7068F">
        <w:t xml:space="preserve"> 2020 diberlakukannya</w:t>
      </w:r>
      <w:r w:rsidR="00AD5F6D">
        <w:t xml:space="preserve"> Peraturan Menteri Keuangan nomor PMK 199/PMK.10/2019</w:t>
      </w:r>
      <w:r w:rsidR="006D1897">
        <w:t xml:space="preserve"> </w:t>
      </w:r>
      <w:r w:rsidR="006D1897" w:rsidRPr="006D1897">
        <w:t>tentang Perlakuan Perpajakan atas Transaksi Perdagangan melalui Sistem Elektronik.</w:t>
      </w:r>
      <w:r w:rsidR="006D1897">
        <w:t xml:space="preserve"> Peratutan tersebut berisikan tentang</w:t>
      </w:r>
      <w:r w:rsidR="006D1897" w:rsidRPr="006D1897">
        <w:t xml:space="preserve"> </w:t>
      </w:r>
      <w:r w:rsidR="006D1897">
        <w:t>pengaturan</w:t>
      </w:r>
      <w:r w:rsidR="006D1897" w:rsidRPr="006D1897">
        <w:t xml:space="preserve"> Pengenaan Pajak Pertambahan Nilai</w:t>
      </w:r>
      <w:r w:rsidR="006D1897">
        <w:t xml:space="preserve"> (PPN)</w:t>
      </w:r>
      <w:r w:rsidR="006D1897" w:rsidRPr="006D1897">
        <w:t>, Pajak Penjualan atas Barang Mewah</w:t>
      </w:r>
      <w:r w:rsidR="006D1897">
        <w:t xml:space="preserve"> (PPnBM)</w:t>
      </w:r>
      <w:r w:rsidR="006D1897" w:rsidRPr="006D1897">
        <w:t>, dan Pajak Penghasilan</w:t>
      </w:r>
      <w:r w:rsidR="006D1897">
        <w:t xml:space="preserve"> (PPH)</w:t>
      </w:r>
      <w:r w:rsidR="006D1897" w:rsidRPr="006D1897">
        <w:t xml:space="preserve"> atas </w:t>
      </w:r>
      <w:r w:rsidR="006D1897" w:rsidRPr="006D1897">
        <w:lastRenderedPageBreak/>
        <w:t>perdagangan barang dan jasa melalui sistem elektronik (e-commerce), baik berupa online retail, classified ads, daily deals, atau media sosial.</w:t>
      </w:r>
      <w:r>
        <w:t xml:space="preserve"> Pemerintah melalui kementrian keuangan menerapkan p</w:t>
      </w:r>
      <w:r w:rsidRPr="00A422F1">
        <w:t>eraturan</w:t>
      </w:r>
      <w:r>
        <w:t xml:space="preserve"> kenaikan</w:t>
      </w:r>
      <w:r w:rsidR="00DF476E">
        <w:t xml:space="preserve"> tarif</w:t>
      </w:r>
      <w:r>
        <w:t xml:space="preserve"> </w:t>
      </w:r>
      <w:r w:rsidR="00867176">
        <w:t>BEA</w:t>
      </w:r>
      <w:r w:rsidRPr="00A422F1">
        <w:t xml:space="preserve"> </w:t>
      </w:r>
      <w:r>
        <w:t>m</w:t>
      </w:r>
      <w:r w:rsidRPr="00A422F1">
        <w:t xml:space="preserve">asuk </w:t>
      </w:r>
      <w:r>
        <w:t>i</w:t>
      </w:r>
      <w:r w:rsidRPr="00A422F1">
        <w:t>mpor</w:t>
      </w:r>
      <w:r>
        <w:t>.</w:t>
      </w:r>
      <w:r w:rsidR="00AD5F6D">
        <w:t xml:space="preserve"> Peraturan ini </w:t>
      </w:r>
      <w:r w:rsidR="00491072">
        <w:t>ditujukan untuk pembelian barang menggunakan sisten e-commerce berupa</w:t>
      </w:r>
      <w:r w:rsidR="00AD5F6D">
        <w:t xml:space="preserve"> pemberlakuan tariff bebas masuk yang tadinya US$75 </w:t>
      </w:r>
      <w:r w:rsidR="00491072">
        <w:t>per item diturunkan menjadi US$3 per unit</w:t>
      </w:r>
      <w:r w:rsidR="00AD5F6D">
        <w:t>.</w:t>
      </w:r>
      <w:r>
        <w:t xml:space="preserve"> </w:t>
      </w:r>
      <w:r w:rsidR="000A3F4A">
        <w:t xml:space="preserve">Berdasarkan data </w:t>
      </w:r>
      <w:r w:rsidR="000A3F4A" w:rsidRPr="000A3F4A">
        <w:t>CN (</w:t>
      </w:r>
      <w:r w:rsidR="000A3F4A" w:rsidRPr="000A3F4A">
        <w:rPr>
          <w:i/>
        </w:rPr>
        <w:t>consignment note</w:t>
      </w:r>
      <w:r w:rsidR="000A3F4A" w:rsidRPr="000A3F4A">
        <w:t>/dokumen kepa</w:t>
      </w:r>
      <w:r w:rsidR="00867176">
        <w:t>bea</w:t>
      </w:r>
      <w:r w:rsidR="000A3F4A" w:rsidRPr="000A3F4A">
        <w:t>nan)-nya</w:t>
      </w:r>
      <w:r w:rsidR="000A3F4A">
        <w:t xml:space="preserve"> </w:t>
      </w:r>
      <w:r w:rsidR="000A3F4A" w:rsidRPr="000A3F4A">
        <w:t>sebagian b</w:t>
      </w:r>
      <w:r w:rsidR="000A3F4A">
        <w:t>esar barang impor yang masuk melalui</w:t>
      </w:r>
      <w:r w:rsidR="000A3F4A" w:rsidRPr="000A3F4A">
        <w:t xml:space="preserve"> </w:t>
      </w:r>
      <w:r w:rsidR="000A3F4A" w:rsidRPr="000A3F4A">
        <w:rPr>
          <w:i/>
        </w:rPr>
        <w:t>e-commerce</w:t>
      </w:r>
      <w:r w:rsidR="000A3F4A">
        <w:t xml:space="preserve"> ke Indonesia senilai US$</w:t>
      </w:r>
      <w:r w:rsidR="000A3F4A" w:rsidRPr="000A3F4A">
        <w:t>3,8.</w:t>
      </w:r>
      <w:r w:rsidR="000A3F4A">
        <w:t xml:space="preserve"> </w:t>
      </w:r>
      <w:r w:rsidRPr="00A422F1">
        <w:t>Pemberlakuan kebijakan ini diambil untuk menciptakan </w:t>
      </w:r>
      <w:r w:rsidRPr="00A422F1">
        <w:rPr>
          <w:i/>
          <w:iCs/>
        </w:rPr>
        <w:t>level playing field</w:t>
      </w:r>
      <w:r w:rsidRPr="00A422F1">
        <w:t> retailer dan produ</w:t>
      </w:r>
      <w:r w:rsidR="00C7068F">
        <w:t>ser barang sejenis dalam negeri.</w:t>
      </w:r>
      <w:r w:rsidRPr="00A422F1">
        <w:t xml:space="preserve"> </w:t>
      </w:r>
      <w:r w:rsidR="00C7068F">
        <w:t>Adanya peraturan ini</w:t>
      </w:r>
      <w:r w:rsidRPr="00A422F1">
        <w:t xml:space="preserve"> diharapkan dapat melindungi persaingan industri dalam negeri, dan mengurangi difisit transaksi berjalan.</w:t>
      </w:r>
      <w:r>
        <w:t xml:space="preserve"> Kenaikan tarif impor ini dilakukan k</w:t>
      </w:r>
      <w:r w:rsidRPr="00A422F1">
        <w:t xml:space="preserve">arena </w:t>
      </w:r>
      <w:r w:rsidR="00867176">
        <w:t>BEA</w:t>
      </w:r>
      <w:r w:rsidRPr="00A422F1">
        <w:t xml:space="preserve"> Cukai sebelumnya menemukan fakta di lapangan setidaknya sebanyak 400 transaksi impor dalam satu hari dengan rata-rata nilai per </w:t>
      </w:r>
      <w:r w:rsidR="00A85404">
        <w:rPr>
          <w:i/>
          <w:iCs/>
        </w:rPr>
        <w:t>in</w:t>
      </w:r>
      <w:r w:rsidRPr="00A422F1">
        <w:rPr>
          <w:i/>
          <w:iCs/>
        </w:rPr>
        <w:t>voice </w:t>
      </w:r>
      <w:r w:rsidR="006D1897">
        <w:t>sekitar US$</w:t>
      </w:r>
      <w:r w:rsidR="000A3F4A">
        <w:t xml:space="preserve">75 (sumber: </w:t>
      </w:r>
      <w:r w:rsidR="000A3F4A" w:rsidRPr="000A3F4A">
        <w:t>https://www.indonesia.go.id/narasi/indonesia-dalam-angka/ekonomi/ketika-impor-bernilai-rp42-000-pun-terkena-jerat</w:t>
      </w:r>
      <w:r w:rsidR="000A3F4A">
        <w:t>).</w:t>
      </w:r>
    </w:p>
    <w:p w:rsidR="00030B9D" w:rsidRPr="00030B9D" w:rsidRDefault="00030B9D" w:rsidP="00C7068F">
      <w:pPr>
        <w:widowControl w:val="0"/>
        <w:spacing w:line="480" w:lineRule="auto"/>
        <w:ind w:firstLine="720"/>
        <w:jc w:val="both"/>
      </w:pPr>
      <w:r w:rsidRPr="00030B9D">
        <w:rPr>
          <w:shd w:val="clear" w:color="auto" w:fill="FFFFFF"/>
        </w:rPr>
        <w:t>Direktur Teknis Kepa</w:t>
      </w:r>
      <w:r w:rsidR="00867176">
        <w:rPr>
          <w:shd w:val="clear" w:color="auto" w:fill="FFFFFF"/>
        </w:rPr>
        <w:t>bea</w:t>
      </w:r>
      <w:r w:rsidRPr="00030B9D">
        <w:rPr>
          <w:shd w:val="clear" w:color="auto" w:fill="FFFFFF"/>
        </w:rPr>
        <w:t>nan R. Fadjar Donny mengungkapkan kebijakan baru impor barang kiriman dibentuk karena pemerintah ingin menciptakan perlakuan perpajakan yang adil dan melindungi Usaha Kecil Menengah (UKM).</w:t>
      </w:r>
      <w:r>
        <w:rPr>
          <w:shd w:val="clear" w:color="auto" w:fill="FFFFFF"/>
        </w:rPr>
        <w:t xml:space="preserve"> Adanya aturan ini maka harga barang impor mulai Rp42.000 akan dikenakan </w:t>
      </w:r>
      <w:r w:rsidR="00867176">
        <w:rPr>
          <w:shd w:val="clear" w:color="auto" w:fill="FFFFFF"/>
        </w:rPr>
        <w:t>bea</w:t>
      </w:r>
      <w:r>
        <w:rPr>
          <w:shd w:val="clear" w:color="auto" w:fill="FFFFFF"/>
        </w:rPr>
        <w:t xml:space="preserve"> masuk dan PPN, sehingga diharapkan produk IKM domestik akan dapat bersaing dengan produk-produk impor sejenis. Masyarakat diharapkan dapat memahami bahwa kebijakan tersebut dibuat karena pemerintah ingin melindungi industri domestik disertai kecintaan masyarakat pada produk-produk nasional. </w:t>
      </w:r>
      <w:r w:rsidRPr="00030B9D">
        <w:rPr>
          <w:shd w:val="clear" w:color="auto" w:fill="FFFFFF"/>
        </w:rPr>
        <w:t xml:space="preserve">(sumber: </w:t>
      </w:r>
      <w:hyperlink r:id="rId7" w:history="1">
        <w:r w:rsidR="005B00B9" w:rsidRPr="004071B6">
          <w:rPr>
            <w:rStyle w:val="Hyperlink"/>
            <w:shd w:val="clear" w:color="auto" w:fill="FFFFFF"/>
          </w:rPr>
          <w:t>https://money.kompas.com/read/2020/01/24/203626426/</w:t>
        </w:r>
        <w:r w:rsidR="00867176">
          <w:rPr>
            <w:rStyle w:val="Hyperlink"/>
            <w:shd w:val="clear" w:color="auto" w:fill="FFFFFF"/>
          </w:rPr>
          <w:t>bea</w:t>
        </w:r>
        <w:r w:rsidR="005B00B9" w:rsidRPr="004071B6">
          <w:rPr>
            <w:rStyle w:val="Hyperlink"/>
            <w:shd w:val="clear" w:color="auto" w:fill="FFFFFF"/>
          </w:rPr>
          <w:t>-cukai-sebut-kebijakan-baru-</w:t>
        </w:r>
        <w:r w:rsidR="00867176">
          <w:rPr>
            <w:rStyle w:val="Hyperlink"/>
            <w:shd w:val="clear" w:color="auto" w:fill="FFFFFF"/>
          </w:rPr>
          <w:t>bea</w:t>
        </w:r>
        <w:r w:rsidR="005B00B9" w:rsidRPr="004071B6">
          <w:rPr>
            <w:rStyle w:val="Hyperlink"/>
            <w:shd w:val="clear" w:color="auto" w:fill="FFFFFF"/>
          </w:rPr>
          <w:t>-masuk-barang-e-commerce-untuk-lindungi-ukm</w:t>
        </w:r>
      </w:hyperlink>
      <w:r w:rsidRPr="00030B9D">
        <w:rPr>
          <w:shd w:val="clear" w:color="auto" w:fill="FFFFFF"/>
        </w:rPr>
        <w:t>.)</w:t>
      </w:r>
    </w:p>
    <w:p w:rsidR="00445D68" w:rsidRDefault="00A83A8E" w:rsidP="00C7068F">
      <w:pPr>
        <w:widowControl w:val="0"/>
        <w:spacing w:line="480" w:lineRule="auto"/>
        <w:ind w:firstLine="720"/>
        <w:jc w:val="both"/>
        <w:rPr>
          <w:rFonts w:eastAsia="Times New Roman"/>
          <w:color w:val="000000"/>
        </w:rPr>
      </w:pPr>
      <w:r>
        <w:t xml:space="preserve">Setelah </w:t>
      </w:r>
      <w:r w:rsidR="00491072">
        <w:t xml:space="preserve">diumumkan </w:t>
      </w:r>
      <w:r w:rsidRPr="00A422F1">
        <w:t xml:space="preserve">bahwa akan diberlakukannya tarif </w:t>
      </w:r>
      <w:r w:rsidR="00867176">
        <w:t>bea</w:t>
      </w:r>
      <w:r w:rsidRPr="00A422F1">
        <w:t xml:space="preserve"> Impor masuk baru di dalam </w:t>
      </w:r>
      <w:r w:rsidRPr="00A422F1">
        <w:rPr>
          <w:i/>
          <w:iCs/>
        </w:rPr>
        <w:lastRenderedPageBreak/>
        <w:t>website</w:t>
      </w:r>
      <w:r w:rsidRPr="00A422F1">
        <w:t xml:space="preserve"> resmi </w:t>
      </w:r>
      <w:r w:rsidR="00867176">
        <w:t>bea</w:t>
      </w:r>
      <w:r w:rsidRPr="00A422F1">
        <w:t xml:space="preserve"> Cukai pada tanggal 14 Januari 2020, harga saham </w:t>
      </w:r>
      <w:r>
        <w:t xml:space="preserve">berbagai </w:t>
      </w:r>
      <w:r w:rsidRPr="00A422F1">
        <w:t xml:space="preserve">sektor </w:t>
      </w:r>
      <w:r>
        <w:t xml:space="preserve">khususnya </w:t>
      </w:r>
      <w:r w:rsidRPr="00A422F1">
        <w:t>manufaktur terus mengalami penurunan.</w:t>
      </w:r>
      <w:r>
        <w:t xml:space="preserve"> </w:t>
      </w:r>
      <w:r w:rsidRPr="00A422F1">
        <w:t>Pada tanggal 14 Januari 2020 saham sektor manufaktur</w:t>
      </w:r>
      <w:r w:rsidR="00491072">
        <w:t xml:space="preserve"> ditutup pada harga 1.471,61. P</w:t>
      </w:r>
      <w:r w:rsidRPr="00A422F1">
        <w:t>enurunan</w:t>
      </w:r>
      <w:r>
        <w:t xml:space="preserve"> </w:t>
      </w:r>
      <w:r w:rsidR="00491072">
        <w:t xml:space="preserve">harga saham </w:t>
      </w:r>
      <w:r>
        <w:t>yang</w:t>
      </w:r>
      <w:r w:rsidRPr="00A422F1">
        <w:t xml:space="preserve"> signifikan sampai ke harga 1.398,52 pada saat diberlakukannya kebijakan ini tanggal 30 Januari 2020.</w:t>
      </w:r>
      <w:r>
        <w:t xml:space="preserve"> </w:t>
      </w:r>
      <w:r w:rsidR="00491072">
        <w:t>Bahkan s</w:t>
      </w:r>
      <w:r w:rsidRPr="00A422F1">
        <w:t>ampai tanggal 14 Februari 2020 pun harga saham sektor manufaktur masih terkoreksi hingga mencapai harga terendahnya yaitu 1.303,54.</w:t>
      </w:r>
      <w:r w:rsidR="00491072">
        <w:t xml:space="preserve"> Dugaan sementara</w:t>
      </w:r>
      <w:r w:rsidR="00C7068F">
        <w:t xml:space="preserve"> </w:t>
      </w:r>
      <w:r w:rsidR="00491072">
        <w:t xml:space="preserve">bahwa </w:t>
      </w:r>
      <w:r w:rsidR="00C7068F">
        <w:t xml:space="preserve">terdapat </w:t>
      </w:r>
      <w:r>
        <w:t xml:space="preserve">pengaruh pemberlakuan kebijakan tarif </w:t>
      </w:r>
      <w:r w:rsidR="00867176">
        <w:t>bea</w:t>
      </w:r>
      <w:r>
        <w:t xml:space="preserve"> masuk impor </w:t>
      </w:r>
      <w:r w:rsidR="00491072">
        <w:t xml:space="preserve">berkaitan dengan tariff </w:t>
      </w:r>
      <w:r w:rsidR="00491072" w:rsidRPr="00491072">
        <w:rPr>
          <w:i/>
        </w:rPr>
        <w:t>e-commerce</w:t>
      </w:r>
      <w:r w:rsidR="00491072">
        <w:t xml:space="preserve"> </w:t>
      </w:r>
      <w:r>
        <w:t>terhadap harga saham manufaktur.</w:t>
      </w:r>
    </w:p>
    <w:p w:rsidR="00445D68" w:rsidRDefault="00491072" w:rsidP="00C7068F">
      <w:pPr>
        <w:widowControl w:val="0"/>
        <w:spacing w:line="480" w:lineRule="auto"/>
        <w:ind w:firstLine="720"/>
        <w:jc w:val="both"/>
        <w:rPr>
          <w:rFonts w:eastAsia="Times New Roman"/>
          <w:color w:val="000000"/>
        </w:rPr>
      </w:pPr>
      <w:r>
        <w:rPr>
          <w:shd w:val="clear" w:color="auto" w:fill="FFFFFF"/>
        </w:rPr>
        <w:t>Bagi para investor d</w:t>
      </w:r>
      <w:r w:rsidR="00A83A8E" w:rsidRPr="003F0A63">
        <w:rPr>
          <w:shd w:val="clear" w:color="auto" w:fill="FFFFFF"/>
        </w:rPr>
        <w:t>alam mengambil keputu</w:t>
      </w:r>
      <w:r>
        <w:rPr>
          <w:shd w:val="clear" w:color="auto" w:fill="FFFFFF"/>
        </w:rPr>
        <w:t xml:space="preserve">san investasi, </w:t>
      </w:r>
      <w:r w:rsidR="00A83A8E" w:rsidRPr="003F0A63">
        <w:rPr>
          <w:shd w:val="clear" w:color="auto" w:fill="FFFFFF"/>
        </w:rPr>
        <w:t>biasanya melakukan analisis se</w:t>
      </w:r>
      <w:r>
        <w:rPr>
          <w:shd w:val="clear" w:color="auto" w:fill="FFFFFF"/>
        </w:rPr>
        <w:t>cara fundamental melalui analisis</w:t>
      </w:r>
      <w:r w:rsidR="00A83A8E" w:rsidRPr="003F0A63">
        <w:rPr>
          <w:shd w:val="clear" w:color="auto" w:fill="FFFFFF"/>
        </w:rPr>
        <w:t xml:space="preserve"> keadaan suatu perusahaan secara menyeluruh dan melakukan analisis secara teknis. Banyak investor yang tertarik untuk menanam</w:t>
      </w:r>
      <w:r w:rsidR="001270EB">
        <w:rPr>
          <w:shd w:val="clear" w:color="auto" w:fill="FFFFFF"/>
        </w:rPr>
        <w:t>kan modalnya pada sektor manufak</w:t>
      </w:r>
      <w:r w:rsidR="00A83A8E" w:rsidRPr="003F0A63">
        <w:rPr>
          <w:shd w:val="clear" w:color="auto" w:fill="FFFFFF"/>
        </w:rPr>
        <w:t>tur. Namun terdapat faktor-faktor yang dapat mempengaruhi pengambilan keputusan untuk investasi itu sendiri. Salah satunya adalah perubahan peraturan atau suatu kebijakan pemerintah. Perubahan peraturan atau suatu kebijakan tersebut merupakan salah satu faktor yang dapat menurunkan harga saham di pasar modal.</w:t>
      </w:r>
      <w:r>
        <w:rPr>
          <w:shd w:val="clear" w:color="auto" w:fill="FFFFFF"/>
        </w:rPr>
        <w:t xml:space="preserve"> Oleh karena itu fenomena yang terjadi bahwasannya kebijakan tersebut untuk mendorong agar IKM domestik dapat bersaing dengan produk impor, namun mengapa para investor melepaskan sahamnya di BEI.</w:t>
      </w:r>
    </w:p>
    <w:p w:rsidR="00445D68" w:rsidRDefault="00491072" w:rsidP="00C7068F">
      <w:pPr>
        <w:widowControl w:val="0"/>
        <w:spacing w:line="480" w:lineRule="auto"/>
        <w:ind w:firstLine="720"/>
        <w:jc w:val="both"/>
        <w:rPr>
          <w:rFonts w:eastAsia="Times New Roman"/>
          <w:color w:val="000000"/>
        </w:rPr>
      </w:pPr>
      <w:r>
        <w:t>Ada</w:t>
      </w:r>
      <w:r w:rsidR="00A83A8E">
        <w:t xml:space="preserve"> kemungkinan</w:t>
      </w:r>
      <w:r>
        <w:t xml:space="preserve"> lain bahwa akan terjadi</w:t>
      </w:r>
      <w:r w:rsidR="00A83A8E">
        <w:t xml:space="preserve"> </w:t>
      </w:r>
      <w:r w:rsidR="00A83A8E" w:rsidRPr="005423E3">
        <w:rPr>
          <w:i/>
          <w:iCs/>
        </w:rPr>
        <w:t>abnormal return</w:t>
      </w:r>
      <w:r w:rsidR="00A83A8E">
        <w:t xml:space="preserve"> </w:t>
      </w:r>
      <w:r>
        <w:t>di</w:t>
      </w:r>
      <w:r w:rsidR="00A83A8E">
        <w:t>karena</w:t>
      </w:r>
      <w:r>
        <w:t>kan</w:t>
      </w:r>
      <w:r w:rsidR="00A83A8E">
        <w:t xml:space="preserve"> </w:t>
      </w:r>
      <w:r>
        <w:t xml:space="preserve">terdapat </w:t>
      </w:r>
      <w:r w:rsidR="00A83A8E">
        <w:t xml:space="preserve">perubahan struktur modal perusahaan yang digunakan untuk melakukan impor bahan baku produksi. </w:t>
      </w:r>
      <w:r w:rsidR="00A83A8E" w:rsidRPr="005423E3">
        <w:rPr>
          <w:i/>
          <w:iCs/>
        </w:rPr>
        <w:t>Abnormal return</w:t>
      </w:r>
      <w:r w:rsidR="00A83A8E">
        <w:t xml:space="preserve"> </w:t>
      </w:r>
      <w:r w:rsidR="00A83A8E" w:rsidRPr="005423E3">
        <w:t>adalah perbedaan antara realisasi dan pengembalian yang diharapkan</w:t>
      </w:r>
      <w:r w:rsidR="00A83A8E">
        <w:t xml:space="preserve"> </w:t>
      </w:r>
      <w:r w:rsidR="00A83A8E">
        <w:fldChar w:fldCharType="begin" w:fldLock="1"/>
      </w:r>
      <w:r w:rsidR="00A83A8E">
        <w:instrText>ADDIN CSL_CITATION {"citationItems":[{"id":"ITEM-1","itemData":{"ISBN":"978-979-503-596-1","author":[{"dropping-particle":"","family":"Jogiyanto","given":"H.M.","non-dropping-particle":"","parse-names":false,"suffix":""}],"edition":"10th ed","id":"ITEM-1","issued":{"date-parts":[["2015"]]},"publisher":"BPFE Yogyakarta","publisher-place":"Yogyakarta","title":"Teori Portofolio dan Analisis Investasi","type":"book"},"uris":["http://www.mendeley.com/documents/?uuid=2e07d1dd-7c77-4485-b416-8e91da416d52"]}],"mendeley":{"formattedCitation":"(Jogiyanto, 2015)","plainTextFormattedCitation":"(Jogiyanto, 2015)","previouslyFormattedCitation":"(Jogiyanto, 2015)"},"properties":{"noteIndex":0},"schema":"https://github.com/citation-style-language/schema/raw/master/csl-citation.json"}</w:instrText>
      </w:r>
      <w:r w:rsidR="00A83A8E">
        <w:fldChar w:fldCharType="separate"/>
      </w:r>
      <w:r w:rsidR="00A83A8E" w:rsidRPr="00251D32">
        <w:rPr>
          <w:noProof/>
        </w:rPr>
        <w:t>(Jogiyanto, 2015)</w:t>
      </w:r>
      <w:r w:rsidR="00A83A8E">
        <w:fldChar w:fldCharType="end"/>
      </w:r>
      <w:r w:rsidR="00A83A8E">
        <w:t>.</w:t>
      </w:r>
      <w:r w:rsidR="00707E5F">
        <w:t xml:space="preserve"> P</w:t>
      </w:r>
      <w:r w:rsidR="00A83A8E" w:rsidRPr="005423E3">
        <w:t>engembalian abnormal positif terjadi ketika pengembalian yang direalisasi lebih tinggi dari pengembalian yang diharapkan, dan</w:t>
      </w:r>
      <w:r w:rsidR="00A83A8E">
        <w:t xml:space="preserve"> begitu pula</w:t>
      </w:r>
      <w:r w:rsidR="00A83A8E" w:rsidRPr="005423E3">
        <w:t xml:space="preserve"> sebaliknya.</w:t>
      </w:r>
      <w:r w:rsidR="00A83A8E">
        <w:t xml:space="preserve"> </w:t>
      </w:r>
      <w:r w:rsidR="00A83A8E" w:rsidRPr="005423E3">
        <w:t>Pengembalian abnormal dianggap sebagai salah satu indikator respon pasar terhadap informasi</w:t>
      </w:r>
      <w:r w:rsidR="00707E5F">
        <w:t xml:space="preserve"> (Nawangsari &amp; Iswahyuni, 2019)</w:t>
      </w:r>
      <w:r w:rsidR="00A83A8E" w:rsidRPr="005423E3">
        <w:t>.</w:t>
      </w:r>
    </w:p>
    <w:p w:rsidR="00445D68" w:rsidRDefault="00A83A8E" w:rsidP="00C7068F">
      <w:pPr>
        <w:widowControl w:val="0"/>
        <w:spacing w:line="480" w:lineRule="auto"/>
        <w:ind w:firstLine="720"/>
        <w:jc w:val="both"/>
        <w:rPr>
          <w:rFonts w:eastAsia="Times New Roman"/>
          <w:color w:val="000000"/>
        </w:rPr>
      </w:pPr>
      <w:r>
        <w:lastRenderedPageBreak/>
        <w:t xml:space="preserve">Selain itu abnormal volume perdagangan juga mungkin terjadi, hal ini dikarenakan pengumuman suatu informasi dapat mempengaruhi pasar dan menyebabkan investor mengambil tindakan untuk menjual atau membeli suatu saham. Dalam penelitian </w:t>
      </w:r>
      <w:r>
        <w:fldChar w:fldCharType="begin" w:fldLock="1"/>
      </w:r>
      <w:r>
        <w:instrText>ADDIN CSL_CITATION {"citationItems":[{"id":"ITEM-1","itemData":{"DOI":"10.1108/IJMF-01-2016-0007","ISSN":"17439132","abstract":"Purpose – The purpose of this paper is to investigate the immediate impact of firm-specific announcements on the trading volume of individual and institutional investors on the Australian Securities Exchange (ASX), during a period when the market becomes fragmented. Design/methodology/approach – This study uses intraday trading volume data in five-minute intervals prior to and after firm-specific announcements to measure individual and institutional abnormal volume. There are 70 such intervals per trading day and 254 trading days in the sample period. The first 10 minutes of trading (from 10.00 to 10.10 a.m.) is excluded to avoid the effect of opening auction and to ensure consistency in the “starting time” for all stocks. The volume transacted during five-minute intervals is aggregated and attributed to individual or institutional investors using Broker IDs. Findings – Institutional investors exhibit abnormal trading volume before and after announcements. However, individual investors indicate abnormal trading volume only after announcements. Consistent with outcomes expected from a dividend washing strategy, abnormal trading volume around dividend announcements is statistically insignificant. Both individual and institutional investors’ buy volumes are higher than sell volumes before and after scheduled and unscheduled announcements. Research limitations/implications – The study is Australian focused, but the results are applicable to other limit order book markets of similar design. Practical implications – The results add to the understanding of individual and institutional investors’ trading behaviour around firm-specific announcements in a securities market with continuous disclosure. Social implications – The results add to the understanding of individual and institutional investors’ trading behaviour around firm-specific announcements in a securities market with continuous disclosure. Originality/value – These results will help regulators to design markets that are less predatory on individual investors.","author":[{"dropping-particle":"","family":"Mudalige","given":"Priyantha","non-dropping-particle":"","parse-names":false,"suffix":""},{"dropping-particle":"","family":"Kalev","given":"Petko S.","non-dropping-particle":"","parse-names":false,"suffix":""},{"dropping-particle":"","family":"Duong","given":"Huu Nhan","non-dropping-particle":"","parse-names":false,"suffix":""}],"container-title":"International Journal of Managerial Finance","id":"ITEM-1","issue":"4","issued":{"date-parts":[["2016"]]},"page":"422-444","title":"Individual and institutional trading volume around firm-specific announcements","type":"article-journal","volume":"12"},"uris":["http://www.mendeley.com/documents/?uuid=3d2c3c86-8262-44ba-9434-8a4250b3ec50"]}],"mendeley":{"formattedCitation":"(Mudalige, Kalev, &amp; Duong, 2016)","plainTextFormattedCitation":"(Mudalige, Kalev, &amp; Duong, 2016)","previouslyFormattedCitation":"(Mudalige, Kalev, &amp; Duong, 2016)"},"properties":{"noteIndex":0},"schema":"https://github.com/citation-style-language/schema/raw/master/csl-citation.json"}</w:instrText>
      </w:r>
      <w:r>
        <w:fldChar w:fldCharType="separate"/>
      </w:r>
      <w:r w:rsidRPr="00446226">
        <w:rPr>
          <w:noProof/>
        </w:rPr>
        <w:t>(Mudalige, Kalev, &amp; Duong, 2016)</w:t>
      </w:r>
      <w:r>
        <w:fldChar w:fldCharType="end"/>
      </w:r>
      <w:r w:rsidR="00445D68">
        <w:t xml:space="preserve"> memberikan</w:t>
      </w:r>
      <w:r w:rsidR="001270EB">
        <w:t xml:space="preserve"> </w:t>
      </w:r>
      <w:r w:rsidR="00445D68">
        <w:t>hasil bahwa</w:t>
      </w:r>
      <w:r>
        <w:t xml:space="preserve"> </w:t>
      </w:r>
      <w:r w:rsidRPr="00446226">
        <w:t xml:space="preserve">volume abnormal yang positif dan signifikan jika pengumuman suatu informasi dijadwalkan. </w:t>
      </w:r>
      <w:r>
        <w:t>H</w:t>
      </w:r>
      <w:r w:rsidRPr="00446226">
        <w:t xml:space="preserve">al ini membenarkan gagasan bahwa suatu informasi dapat menyebabkan perdagangan volume saham yang lebih tinggi. </w:t>
      </w:r>
      <w:r>
        <w:t>S</w:t>
      </w:r>
      <w:r w:rsidRPr="00446226">
        <w:t xml:space="preserve">edangkan untuk pengumuman informasi yang tidak dijadwalkan </w:t>
      </w:r>
      <w:r>
        <w:t xml:space="preserve">juga </w:t>
      </w:r>
      <w:r w:rsidRPr="00446226">
        <w:t>menunjukkan hasil yang positif namun tidak signifikan.</w:t>
      </w:r>
    </w:p>
    <w:p w:rsidR="00A83A8E" w:rsidRPr="00445D68" w:rsidRDefault="00A83A8E" w:rsidP="00C7068F">
      <w:pPr>
        <w:widowControl w:val="0"/>
        <w:spacing w:line="480" w:lineRule="auto"/>
        <w:ind w:firstLine="720"/>
        <w:jc w:val="both"/>
        <w:rPr>
          <w:rFonts w:eastAsia="Times New Roman"/>
          <w:color w:val="000000"/>
        </w:rPr>
      </w:pPr>
      <w:r>
        <w:t xml:space="preserve">Penelitian ini merupakan replikasi dari penelitian </w:t>
      </w:r>
      <w:r>
        <w:fldChar w:fldCharType="begin" w:fldLock="1"/>
      </w:r>
      <w:r>
        <w:instrText>ADDIN CSL_CITATION {"citationItems":[{"id":"ITEM-1","itemData":{"DOI":"10.1108/sajgbr-06-2014-0039","ISSN":"2045-4457","author":[{"dropping-particle":"","family":"Sharif","given":"Saqib","non-dropping-particle":"","parse-names":false,"suffix":""}],"container-title":"South Asian Journal of Global Business Research","id":"ITEM-1","issue":"2","issued":{"date-parts":[["2015"]]},"page":"275-291","title":"Market reaction to the Karachi stock exchange floor imposition","type":"article-journal","volume":"4"},"uris":["http://www.mendeley.com/documents/?uuid=851eae4d-5db4-4369-a066-7b957925aa82"]}],"mendeley":{"formattedCitation":"(Sharif, 2015)","plainTextFormattedCitation":"(Sharif, 2015)","previouslyFormattedCitation":"(Sharif, 2015)"},"properties":{"noteIndex":0},"schema":"https://github.com/citation-style-language/schema/raw/master/csl-citation.json"}</w:instrText>
      </w:r>
      <w:r>
        <w:fldChar w:fldCharType="separate"/>
      </w:r>
      <w:r w:rsidRPr="00251D32">
        <w:rPr>
          <w:noProof/>
        </w:rPr>
        <w:t>(Sharif, 2015)</w:t>
      </w:r>
      <w:r>
        <w:fldChar w:fldCharType="end"/>
      </w:r>
      <w:r>
        <w:t xml:space="preserve">. </w:t>
      </w:r>
      <w:r w:rsidRPr="00251D32">
        <w:t xml:space="preserve">Shaqib menguji Pengaruh Perubahan Kebijakan Batas Bawah harga Saham pada pasar saham Karachi Stock Exchange (KSE) di Pakistan. Untuk tujuan ini, dilakukan tes untuk membandingkan abnormal return (AR), volume abnormal, bid-ask spread, dan volatilitas harga antara kedua periode untuk mengetahui pengaruh </w:t>
      </w:r>
      <w:r>
        <w:t>p</w:t>
      </w:r>
      <w:r w:rsidRPr="00251D32">
        <w:t xml:space="preserve">erubahan </w:t>
      </w:r>
      <w:r>
        <w:t>k</w:t>
      </w:r>
      <w:r w:rsidRPr="00251D32">
        <w:t xml:space="preserve">ebijakan </w:t>
      </w:r>
      <w:r>
        <w:t>b</w:t>
      </w:r>
      <w:r w:rsidRPr="00251D32">
        <w:t xml:space="preserve">atas </w:t>
      </w:r>
      <w:r>
        <w:t>b</w:t>
      </w:r>
      <w:r w:rsidRPr="00251D32">
        <w:t xml:space="preserve">awah harga </w:t>
      </w:r>
      <w:r>
        <w:t>s</w:t>
      </w:r>
      <w:r w:rsidRPr="00251D32">
        <w:t>aham.</w:t>
      </w:r>
      <w:r>
        <w:t xml:space="preserve"> Replikasi</w:t>
      </w:r>
      <w:r w:rsidRPr="00251D32">
        <w:t xml:space="preserve"> dilakukan dengan perbedaan </w:t>
      </w:r>
      <w:r>
        <w:t>i</w:t>
      </w:r>
      <w:r w:rsidRPr="00251D32">
        <w:t xml:space="preserve">nformasi </w:t>
      </w:r>
      <w:r>
        <w:t>k</w:t>
      </w:r>
      <w:r w:rsidRPr="00251D32">
        <w:t xml:space="preserve">ebijakan yang diumumkan yaitu perubahan tarif </w:t>
      </w:r>
      <w:r w:rsidR="00867176">
        <w:t>BEA</w:t>
      </w:r>
      <w:r w:rsidRPr="00251D32">
        <w:t xml:space="preserve"> </w:t>
      </w:r>
      <w:r>
        <w:t>m</w:t>
      </w:r>
      <w:r w:rsidRPr="00251D32">
        <w:t xml:space="preserve">asuk </w:t>
      </w:r>
      <w:r>
        <w:t>i</w:t>
      </w:r>
      <w:r w:rsidRPr="00251D32">
        <w:t xml:space="preserve">mpor 2020 dan memilih </w:t>
      </w:r>
      <w:r w:rsidR="008C4025">
        <w:t xml:space="preserve">saham </w:t>
      </w:r>
      <w:r>
        <w:t>s</w:t>
      </w:r>
      <w:r w:rsidRPr="00251D32">
        <w:t xml:space="preserve">ektor </w:t>
      </w:r>
      <w:r>
        <w:t>m</w:t>
      </w:r>
      <w:r w:rsidRPr="00251D32">
        <w:t>anufaktur sebagai sempel yang akan diteliti. Pengu</w:t>
      </w:r>
      <w:r w:rsidR="008C4025">
        <w:t>jian sempel dilakukan di pasar/ B</w:t>
      </w:r>
      <w:r w:rsidRPr="00251D32">
        <w:t xml:space="preserve">ursa </w:t>
      </w:r>
      <w:r w:rsidR="008C4025">
        <w:t xml:space="preserve">Efek </w:t>
      </w:r>
      <w:r w:rsidRPr="00251D32">
        <w:t>Indonesia (IDX).</w:t>
      </w:r>
    </w:p>
    <w:p w:rsidR="00A83A8E" w:rsidRPr="005423E3" w:rsidRDefault="00A83A8E" w:rsidP="00A83A8E">
      <w:pPr>
        <w:widowControl w:val="0"/>
        <w:ind w:firstLine="202"/>
        <w:jc w:val="both"/>
      </w:pPr>
    </w:p>
    <w:p w:rsidR="008C4025" w:rsidRPr="00911F77" w:rsidRDefault="008C4025" w:rsidP="008C4025">
      <w:pPr>
        <w:pStyle w:val="ListParagraph"/>
        <w:numPr>
          <w:ilvl w:val="1"/>
          <w:numId w:val="10"/>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Perumusan Masala</w:t>
      </w:r>
      <w:r w:rsidRPr="00911F77">
        <w:rPr>
          <w:rFonts w:ascii="Times New Roman" w:hAnsi="Times New Roman" w:cs="Times New Roman"/>
          <w:b/>
          <w:sz w:val="24"/>
          <w:szCs w:val="24"/>
          <w:lang w:val="en-GB"/>
        </w:rPr>
        <w:t>h</w:t>
      </w:r>
    </w:p>
    <w:p w:rsidR="008C4025" w:rsidRPr="0078641E" w:rsidRDefault="008C4025" w:rsidP="008C4025">
      <w:pPr>
        <w:spacing w:line="480" w:lineRule="auto"/>
        <w:ind w:firstLine="720"/>
        <w:contextualSpacing/>
        <w:jc w:val="both"/>
        <w:rPr>
          <w:lang w:val="id-ID"/>
        </w:rPr>
      </w:pPr>
      <w:r>
        <w:rPr>
          <w:lang w:val="en-GB"/>
        </w:rPr>
        <w:t xml:space="preserve">Berdasarkan latar belakang yang telah dipaparkan sebelumnya, maka </w:t>
      </w:r>
      <w:r w:rsidRPr="0078641E">
        <w:rPr>
          <w:lang w:val="id-ID"/>
        </w:rPr>
        <w:t>rumusan masalah dalam penelitian ini adalah:</w:t>
      </w:r>
    </w:p>
    <w:p w:rsidR="008C4025" w:rsidRPr="00E86A37" w:rsidRDefault="008C4025" w:rsidP="008C4025">
      <w:pPr>
        <w:pStyle w:val="ListParagraph"/>
        <w:numPr>
          <w:ilvl w:val="0"/>
          <w:numId w:val="8"/>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en-GB"/>
        </w:rPr>
        <w:t xml:space="preserve">Apakah ada pengaruh pengumuman perubahan tarif </w:t>
      </w:r>
      <w:r w:rsidR="00867176">
        <w:rPr>
          <w:rFonts w:ascii="Times New Roman" w:hAnsi="Times New Roman" w:cs="Times New Roman"/>
          <w:sz w:val="24"/>
          <w:szCs w:val="24"/>
          <w:lang w:val="en-GB"/>
        </w:rPr>
        <w:t>bea</w:t>
      </w:r>
      <w:r>
        <w:rPr>
          <w:rFonts w:ascii="Times New Roman" w:hAnsi="Times New Roman" w:cs="Times New Roman"/>
          <w:sz w:val="24"/>
          <w:szCs w:val="24"/>
          <w:lang w:val="en-GB"/>
        </w:rPr>
        <w:t xml:space="preserve"> masuk tahun 2020 </w:t>
      </w:r>
      <w:r w:rsidR="005B00B9">
        <w:rPr>
          <w:rFonts w:ascii="Times New Roman" w:hAnsi="Times New Roman" w:cs="Times New Roman"/>
          <w:sz w:val="24"/>
          <w:szCs w:val="24"/>
          <w:lang w:val="en-GB"/>
        </w:rPr>
        <w:t xml:space="preserve">dan pandemic covid-19 </w:t>
      </w:r>
      <w:r>
        <w:rPr>
          <w:rFonts w:ascii="Times New Roman" w:hAnsi="Times New Roman" w:cs="Times New Roman"/>
          <w:sz w:val="24"/>
          <w:szCs w:val="24"/>
          <w:lang w:val="en-GB"/>
        </w:rPr>
        <w:t>terhadap sektor manufaktur di pasar modal</w:t>
      </w:r>
      <w:r w:rsidRPr="0078641E">
        <w:rPr>
          <w:rFonts w:ascii="Times New Roman" w:hAnsi="Times New Roman" w:cs="Times New Roman"/>
          <w:i/>
          <w:iCs/>
          <w:sz w:val="24"/>
          <w:szCs w:val="24"/>
          <w:lang w:val="id-ID"/>
        </w:rPr>
        <w:t xml:space="preserve"> </w:t>
      </w:r>
      <w:r w:rsidR="00BC3E96">
        <w:rPr>
          <w:rFonts w:ascii="Times New Roman" w:hAnsi="Times New Roman" w:cs="Times New Roman"/>
          <w:iCs/>
          <w:sz w:val="24"/>
          <w:szCs w:val="24"/>
        </w:rPr>
        <w:t xml:space="preserve">berdasarkan data harian dari </w:t>
      </w:r>
      <w:r w:rsidR="00867176">
        <w:rPr>
          <w:rFonts w:ascii="Times New Roman" w:hAnsi="Times New Roman" w:cs="Times New Roman"/>
          <w:iCs/>
          <w:sz w:val="24"/>
          <w:szCs w:val="24"/>
        </w:rPr>
        <w:t>tanggal 2 Desember</w:t>
      </w:r>
      <w:r w:rsidR="00BC3E96">
        <w:rPr>
          <w:rFonts w:ascii="Times New Roman" w:hAnsi="Times New Roman" w:cs="Times New Roman"/>
          <w:iCs/>
          <w:sz w:val="24"/>
          <w:szCs w:val="24"/>
        </w:rPr>
        <w:t xml:space="preserve"> 2019 sampai dengan </w:t>
      </w:r>
      <w:r w:rsidR="00867176">
        <w:rPr>
          <w:rFonts w:ascii="Times New Roman" w:hAnsi="Times New Roman" w:cs="Times New Roman"/>
          <w:iCs/>
          <w:sz w:val="24"/>
          <w:szCs w:val="24"/>
        </w:rPr>
        <w:t xml:space="preserve">tanggal 31 Maret </w:t>
      </w:r>
      <w:r w:rsidR="00BC3E96">
        <w:rPr>
          <w:rFonts w:ascii="Times New Roman" w:hAnsi="Times New Roman" w:cs="Times New Roman"/>
          <w:iCs/>
          <w:sz w:val="24"/>
          <w:szCs w:val="24"/>
        </w:rPr>
        <w:t>2020</w:t>
      </w:r>
      <w:r>
        <w:rPr>
          <w:rFonts w:ascii="Times New Roman" w:hAnsi="Times New Roman" w:cs="Times New Roman"/>
          <w:iCs/>
          <w:sz w:val="24"/>
          <w:szCs w:val="24"/>
        </w:rPr>
        <w:t>?</w:t>
      </w:r>
    </w:p>
    <w:p w:rsidR="008C4025" w:rsidRDefault="008C4025" w:rsidP="008C4025">
      <w:pPr>
        <w:spacing w:line="480" w:lineRule="auto"/>
        <w:ind w:left="709" w:hanging="349"/>
        <w:jc w:val="both"/>
        <w:rPr>
          <w:lang w:val="en-GB"/>
        </w:rPr>
      </w:pPr>
      <w:r>
        <w:rPr>
          <w:lang w:val="en-GB"/>
        </w:rPr>
        <w:lastRenderedPageBreak/>
        <w:t>2.</w:t>
      </w:r>
      <w:r w:rsidRPr="004C0D0C">
        <w:rPr>
          <w:lang w:val="en-GB"/>
        </w:rPr>
        <w:t xml:space="preserve"> </w:t>
      </w:r>
      <w:r>
        <w:rPr>
          <w:lang w:val="en-GB"/>
        </w:rPr>
        <w:t xml:space="preserve"> Apakah perubahan tariff </w:t>
      </w:r>
      <w:r w:rsidR="00867176">
        <w:rPr>
          <w:lang w:val="en-GB"/>
        </w:rPr>
        <w:t>bea</w:t>
      </w:r>
      <w:r>
        <w:rPr>
          <w:lang w:val="en-GB"/>
        </w:rPr>
        <w:t xml:space="preserve"> masuk impor </w:t>
      </w:r>
      <w:r w:rsidR="005B00B9">
        <w:rPr>
          <w:lang w:val="en-GB"/>
        </w:rPr>
        <w:t xml:space="preserve">dan pandemic covid-19 </w:t>
      </w:r>
      <w:r>
        <w:rPr>
          <w:lang w:val="en-GB"/>
        </w:rPr>
        <w:t xml:space="preserve">akan membedakan abnormal return, bid-ask spread, volatilitas harga sebelum dan sesudah </w:t>
      </w:r>
      <w:r w:rsidR="005B00B9">
        <w:rPr>
          <w:lang w:val="en-GB"/>
        </w:rPr>
        <w:t>terjadinya peristiwa</w:t>
      </w:r>
      <w:r>
        <w:rPr>
          <w:lang w:val="en-GB"/>
        </w:rPr>
        <w:t xml:space="preserve"> ini?</w:t>
      </w:r>
    </w:p>
    <w:p w:rsidR="000A3F4A" w:rsidRPr="00BF7958" w:rsidRDefault="000A3F4A" w:rsidP="005527FA">
      <w:pPr>
        <w:spacing w:line="480" w:lineRule="auto"/>
        <w:jc w:val="both"/>
        <w:rPr>
          <w:lang w:val="en-GB"/>
        </w:rPr>
      </w:pPr>
    </w:p>
    <w:p w:rsidR="008C4025" w:rsidRPr="0076195C" w:rsidRDefault="008C4025" w:rsidP="008C4025">
      <w:pPr>
        <w:spacing w:line="480" w:lineRule="auto"/>
        <w:jc w:val="both"/>
        <w:rPr>
          <w:b/>
          <w:lang w:val="en-GB"/>
        </w:rPr>
      </w:pPr>
      <w:r>
        <w:rPr>
          <w:b/>
          <w:lang w:val="en-GB"/>
        </w:rPr>
        <w:t>1.3. Tujuan Penelitian</w:t>
      </w:r>
    </w:p>
    <w:p w:rsidR="008C4025" w:rsidRPr="0030476B" w:rsidRDefault="008C4025" w:rsidP="008C4025">
      <w:pPr>
        <w:pStyle w:val="ListParagraph"/>
        <w:spacing w:line="480" w:lineRule="auto"/>
        <w:ind w:left="0"/>
        <w:jc w:val="both"/>
        <w:rPr>
          <w:rFonts w:ascii="Times New Roman" w:hAnsi="Times New Roman" w:cs="Times New Roman"/>
          <w:sz w:val="24"/>
          <w:szCs w:val="24"/>
          <w:lang w:val="en-GB"/>
        </w:rPr>
      </w:pPr>
      <w:r w:rsidRPr="0078641E">
        <w:rPr>
          <w:rFonts w:ascii="Times New Roman" w:hAnsi="Times New Roman" w:cs="Times New Roman"/>
          <w:sz w:val="24"/>
          <w:szCs w:val="24"/>
          <w:lang w:val="id-ID"/>
        </w:rPr>
        <w:t xml:space="preserve">           Mengacu pada perumusan masalah, maka tujuan dari penelitian ini adalah:</w:t>
      </w:r>
    </w:p>
    <w:p w:rsidR="008C4025" w:rsidRPr="008C4025" w:rsidRDefault="008C4025" w:rsidP="008C4025">
      <w:pPr>
        <w:pStyle w:val="ListParagraph"/>
        <w:numPr>
          <w:ilvl w:val="0"/>
          <w:numId w:val="9"/>
        </w:numPr>
        <w:tabs>
          <w:tab w:val="left" w:pos="720"/>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en-GB"/>
        </w:rPr>
        <w:t xml:space="preserve">Menguji dan menganalisis pengaruh </w:t>
      </w:r>
      <w:r w:rsidR="00D63C9A">
        <w:rPr>
          <w:rFonts w:ascii="Times New Roman" w:hAnsi="Times New Roman" w:cs="Times New Roman"/>
          <w:sz w:val="24"/>
          <w:szCs w:val="24"/>
          <w:lang w:val="en-GB"/>
        </w:rPr>
        <w:t xml:space="preserve">sebelum dan sesudah terjadi </w:t>
      </w:r>
      <w:r>
        <w:rPr>
          <w:rFonts w:ascii="Times New Roman" w:hAnsi="Times New Roman" w:cs="Times New Roman"/>
          <w:sz w:val="24"/>
          <w:szCs w:val="24"/>
          <w:lang w:val="en-GB"/>
        </w:rPr>
        <w:t xml:space="preserve">perubahan tariff </w:t>
      </w:r>
      <w:r w:rsidR="00867176">
        <w:rPr>
          <w:rFonts w:ascii="Times New Roman" w:hAnsi="Times New Roman" w:cs="Times New Roman"/>
          <w:sz w:val="24"/>
          <w:szCs w:val="24"/>
          <w:lang w:val="en-GB"/>
        </w:rPr>
        <w:t>bea</w:t>
      </w:r>
      <w:r>
        <w:rPr>
          <w:rFonts w:ascii="Times New Roman" w:hAnsi="Times New Roman" w:cs="Times New Roman"/>
          <w:sz w:val="24"/>
          <w:szCs w:val="24"/>
          <w:lang w:val="en-GB"/>
        </w:rPr>
        <w:t xml:space="preserve"> masuk impor </w:t>
      </w:r>
      <w:r w:rsidR="00D63C9A">
        <w:rPr>
          <w:rFonts w:ascii="Times New Roman" w:hAnsi="Times New Roman" w:cs="Times New Roman"/>
          <w:sz w:val="24"/>
          <w:szCs w:val="24"/>
          <w:lang w:val="en-GB"/>
        </w:rPr>
        <w:t xml:space="preserve">dan kondisi pandemic covid-19 </w:t>
      </w:r>
      <w:r>
        <w:rPr>
          <w:rFonts w:ascii="Times New Roman" w:hAnsi="Times New Roman" w:cs="Times New Roman"/>
          <w:sz w:val="24"/>
          <w:szCs w:val="24"/>
          <w:lang w:val="en-GB"/>
        </w:rPr>
        <w:t>terutama se</w:t>
      </w:r>
      <w:r w:rsidR="00D63C9A">
        <w:rPr>
          <w:rFonts w:ascii="Times New Roman" w:hAnsi="Times New Roman" w:cs="Times New Roman"/>
          <w:sz w:val="24"/>
          <w:szCs w:val="24"/>
          <w:lang w:val="en-GB"/>
        </w:rPr>
        <w:t>k</w:t>
      </w:r>
      <w:r>
        <w:rPr>
          <w:rFonts w:ascii="Times New Roman" w:hAnsi="Times New Roman" w:cs="Times New Roman"/>
          <w:sz w:val="24"/>
          <w:szCs w:val="24"/>
          <w:lang w:val="en-GB"/>
        </w:rPr>
        <w:t>tor man</w:t>
      </w:r>
      <w:r w:rsidR="00D63C9A">
        <w:rPr>
          <w:rFonts w:ascii="Times New Roman" w:hAnsi="Times New Roman" w:cs="Times New Roman"/>
          <w:sz w:val="24"/>
          <w:szCs w:val="24"/>
          <w:lang w:val="en-GB"/>
        </w:rPr>
        <w:t>ufaktur selama kurun waktu penelitian</w:t>
      </w:r>
      <w:r>
        <w:rPr>
          <w:rFonts w:ascii="Times New Roman" w:hAnsi="Times New Roman" w:cs="Times New Roman"/>
          <w:sz w:val="24"/>
          <w:szCs w:val="24"/>
          <w:lang w:val="en-GB"/>
        </w:rPr>
        <w:t xml:space="preserve"> menggunakan data harian.</w:t>
      </w:r>
      <w:r w:rsidRPr="008C4025">
        <w:rPr>
          <w:rFonts w:ascii="Times New Roman" w:hAnsi="Times New Roman" w:cs="Times New Roman"/>
          <w:sz w:val="24"/>
          <w:szCs w:val="24"/>
          <w:lang w:val="en-GB"/>
        </w:rPr>
        <w:t xml:space="preserve"> </w:t>
      </w:r>
    </w:p>
    <w:p w:rsidR="007064A1" w:rsidRPr="007064A1" w:rsidRDefault="008C4025" w:rsidP="008C4025">
      <w:pPr>
        <w:pStyle w:val="ListParagraph"/>
        <w:numPr>
          <w:ilvl w:val="0"/>
          <w:numId w:val="9"/>
        </w:numPr>
        <w:tabs>
          <w:tab w:val="left" w:pos="720"/>
        </w:tabs>
        <w:spacing w:line="480" w:lineRule="auto"/>
        <w:jc w:val="both"/>
        <w:rPr>
          <w:rFonts w:ascii="Times New Roman" w:hAnsi="Times New Roman" w:cs="Times New Roman"/>
          <w:sz w:val="24"/>
          <w:szCs w:val="24"/>
          <w:lang w:val="id-ID"/>
        </w:rPr>
      </w:pPr>
      <w:r w:rsidRPr="008C4025">
        <w:rPr>
          <w:rFonts w:ascii="Times New Roman" w:hAnsi="Times New Roman" w:cs="Times New Roman"/>
          <w:sz w:val="24"/>
          <w:szCs w:val="24"/>
          <w:lang w:val="en-GB"/>
        </w:rPr>
        <w:t xml:space="preserve">Menguji dan menganalisis </w:t>
      </w:r>
      <w:r w:rsidRPr="008C4025">
        <w:rPr>
          <w:rFonts w:ascii="Times New Roman" w:hAnsi="Times New Roman" w:cs="Times New Roman"/>
          <w:sz w:val="24"/>
          <w:szCs w:val="24"/>
          <w:lang w:val="id-ID"/>
        </w:rPr>
        <w:t xml:space="preserve">pengaruh </w:t>
      </w:r>
      <w:r w:rsidR="00D63C9A">
        <w:rPr>
          <w:rFonts w:ascii="Times New Roman" w:hAnsi="Times New Roman" w:cs="Times New Roman"/>
          <w:sz w:val="24"/>
          <w:szCs w:val="24"/>
        </w:rPr>
        <w:t xml:space="preserve">sebelum dan sesudah adanya </w:t>
      </w:r>
      <w:r>
        <w:rPr>
          <w:rFonts w:ascii="Times New Roman" w:hAnsi="Times New Roman" w:cs="Times New Roman"/>
          <w:sz w:val="24"/>
          <w:szCs w:val="24"/>
        </w:rPr>
        <w:t xml:space="preserve">tariff </w:t>
      </w:r>
      <w:r w:rsidR="00867176">
        <w:rPr>
          <w:rFonts w:ascii="Times New Roman" w:hAnsi="Times New Roman" w:cs="Times New Roman"/>
          <w:sz w:val="24"/>
          <w:szCs w:val="24"/>
        </w:rPr>
        <w:t>bea</w:t>
      </w:r>
      <w:r>
        <w:rPr>
          <w:rFonts w:ascii="Times New Roman" w:hAnsi="Times New Roman" w:cs="Times New Roman"/>
          <w:sz w:val="24"/>
          <w:szCs w:val="24"/>
        </w:rPr>
        <w:t xml:space="preserve"> masuk impor </w:t>
      </w:r>
      <w:r w:rsidR="00D63C9A">
        <w:rPr>
          <w:rFonts w:ascii="Times New Roman" w:hAnsi="Times New Roman" w:cs="Times New Roman"/>
          <w:sz w:val="24"/>
          <w:szCs w:val="24"/>
        </w:rPr>
        <w:t xml:space="preserve">dan pandemic covid-19 </w:t>
      </w:r>
      <w:r>
        <w:rPr>
          <w:rFonts w:ascii="Times New Roman" w:hAnsi="Times New Roman" w:cs="Times New Roman"/>
          <w:sz w:val="24"/>
          <w:szCs w:val="24"/>
        </w:rPr>
        <w:t xml:space="preserve">terhadap abnormal return, bid-ask spread, volatilitas harga </w:t>
      </w:r>
      <w:r w:rsidR="00D63C9A">
        <w:rPr>
          <w:rFonts w:ascii="Times New Roman" w:hAnsi="Times New Roman" w:cs="Times New Roman"/>
          <w:sz w:val="24"/>
          <w:szCs w:val="24"/>
        </w:rPr>
        <w:t>saham sektor manufaktur</w:t>
      </w:r>
      <w:r w:rsidRPr="008C4025">
        <w:rPr>
          <w:rFonts w:ascii="Times New Roman" w:hAnsi="Times New Roman" w:cs="Times New Roman"/>
          <w:sz w:val="24"/>
          <w:szCs w:val="24"/>
          <w:lang w:val="en-GB"/>
        </w:rPr>
        <w:t>.</w:t>
      </w:r>
    </w:p>
    <w:p w:rsidR="007064A1" w:rsidRDefault="007064A1" w:rsidP="007064A1">
      <w:pPr>
        <w:spacing w:line="480" w:lineRule="auto"/>
        <w:contextualSpacing/>
        <w:rPr>
          <w:b/>
          <w:lang w:val="en-GB"/>
        </w:rPr>
      </w:pPr>
      <w:r w:rsidRPr="0078641E">
        <w:rPr>
          <w:b/>
          <w:lang w:val="id-ID"/>
        </w:rPr>
        <w:t>1.4. Kegunaan Penelitian</w:t>
      </w:r>
    </w:p>
    <w:p w:rsidR="000A3F4A" w:rsidRPr="005527FA" w:rsidRDefault="007064A1" w:rsidP="00D63C9A">
      <w:pPr>
        <w:spacing w:line="480" w:lineRule="auto"/>
        <w:ind w:firstLine="450"/>
        <w:contextualSpacing/>
        <w:jc w:val="both"/>
        <w:rPr>
          <w:lang w:val="id-ID"/>
        </w:rPr>
      </w:pPr>
      <w:r w:rsidRPr="0078641E">
        <w:rPr>
          <w:lang w:val="id-ID"/>
        </w:rPr>
        <w:t>Hasil penelitian ini diharapkan memberikan kegunaan bagi kalangan akademisi, perusahaan , investor, serta pemerintah.</w:t>
      </w:r>
    </w:p>
    <w:p w:rsidR="007064A1" w:rsidRPr="0078641E" w:rsidRDefault="007064A1" w:rsidP="007064A1">
      <w:pPr>
        <w:pStyle w:val="ListParagraph"/>
        <w:numPr>
          <w:ilvl w:val="2"/>
          <w:numId w:val="11"/>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en-GB"/>
        </w:rPr>
        <w:t>Aspek Teoritis</w:t>
      </w:r>
    </w:p>
    <w:p w:rsidR="007064A1" w:rsidRPr="007064A1" w:rsidRDefault="007064A1" w:rsidP="007064A1">
      <w:pPr>
        <w:pStyle w:val="ListParagraph"/>
        <w:numPr>
          <w:ilvl w:val="0"/>
          <w:numId w:val="13"/>
        </w:numPr>
        <w:spacing w:line="480" w:lineRule="auto"/>
        <w:ind w:left="720"/>
        <w:jc w:val="both"/>
        <w:rPr>
          <w:rFonts w:ascii="Times New Roman" w:hAnsi="Times New Roman" w:cs="Times New Roman"/>
          <w:sz w:val="24"/>
          <w:szCs w:val="24"/>
          <w:lang w:val="en-GB"/>
        </w:rPr>
      </w:pPr>
      <w:r w:rsidRPr="007064A1">
        <w:rPr>
          <w:rFonts w:ascii="Times New Roman" w:hAnsi="Times New Roman" w:cs="Times New Roman"/>
          <w:sz w:val="24"/>
          <w:szCs w:val="24"/>
          <w:lang w:val="id-ID"/>
        </w:rPr>
        <w:t xml:space="preserve">Sebagai referensi yang memberikan sumbangan konseptual bagi pengembangan ilmu pengetahuan khususnya bagi para akademisi yang ingin mengkaji lebih komprehensif mengenai masalah perilaku keuangan di pasar modal, khususnya di sektor </w:t>
      </w:r>
      <w:r w:rsidR="00D63C9A">
        <w:rPr>
          <w:rFonts w:ascii="Times New Roman" w:hAnsi="Times New Roman" w:cs="Times New Roman"/>
          <w:iCs/>
          <w:sz w:val="24"/>
          <w:szCs w:val="24"/>
          <w:lang w:val="id-ID"/>
        </w:rPr>
        <w:t>manufaktur</w:t>
      </w:r>
      <w:r w:rsidRPr="007064A1">
        <w:rPr>
          <w:rFonts w:ascii="Times New Roman" w:hAnsi="Times New Roman" w:cs="Times New Roman"/>
          <w:iCs/>
          <w:sz w:val="24"/>
          <w:szCs w:val="24"/>
          <w:lang w:val="en-GB"/>
        </w:rPr>
        <w:t>.</w:t>
      </w:r>
    </w:p>
    <w:p w:rsidR="007064A1" w:rsidRPr="00E84C37" w:rsidRDefault="007064A1" w:rsidP="007064A1">
      <w:pPr>
        <w:pStyle w:val="ListParagraph"/>
        <w:numPr>
          <w:ilvl w:val="0"/>
          <w:numId w:val="13"/>
        </w:numPr>
        <w:spacing w:line="480" w:lineRule="auto"/>
        <w:ind w:left="720"/>
        <w:jc w:val="both"/>
        <w:rPr>
          <w:rFonts w:ascii="Times New Roman" w:hAnsi="Times New Roman" w:cs="Times New Roman"/>
          <w:sz w:val="24"/>
          <w:szCs w:val="24"/>
          <w:lang w:val="en-GB"/>
        </w:rPr>
      </w:pPr>
      <w:r w:rsidRPr="007064A1">
        <w:rPr>
          <w:rFonts w:ascii="Times New Roman" w:hAnsi="Times New Roman" w:cs="Times New Roman"/>
          <w:sz w:val="24"/>
          <w:szCs w:val="24"/>
          <w:lang w:val="id-ID"/>
        </w:rPr>
        <w:t xml:space="preserve">Memberikan kontribusi berupa studi empirik yang lebih komprehensif untuk kajian ekonomi terapan khususnya dalam bidang ekonomi keuangan. </w:t>
      </w:r>
      <w:r w:rsidRPr="007064A1">
        <w:rPr>
          <w:rFonts w:ascii="Times New Roman" w:hAnsi="Times New Roman" w:cs="Times New Roman"/>
          <w:sz w:val="24"/>
          <w:szCs w:val="24"/>
          <w:lang w:val="en-GB"/>
        </w:rPr>
        <w:t>M</w:t>
      </w:r>
      <w:r w:rsidRPr="007064A1">
        <w:rPr>
          <w:rFonts w:ascii="Times New Roman" w:hAnsi="Times New Roman" w:cs="Times New Roman"/>
          <w:sz w:val="24"/>
          <w:szCs w:val="24"/>
          <w:lang w:val="id-ID"/>
        </w:rPr>
        <w:t xml:space="preserve">emberikan tambahan rujukan bagi peneliti selanjutnya, </w:t>
      </w:r>
      <w:r w:rsidRPr="007064A1">
        <w:rPr>
          <w:rFonts w:ascii="Times New Roman" w:hAnsi="Times New Roman" w:cs="Times New Roman"/>
          <w:sz w:val="24"/>
          <w:szCs w:val="24"/>
          <w:lang w:val="en-GB"/>
        </w:rPr>
        <w:t xml:space="preserve">sebagai </w:t>
      </w:r>
      <w:r w:rsidRPr="007064A1">
        <w:rPr>
          <w:rFonts w:ascii="Times New Roman" w:hAnsi="Times New Roman" w:cs="Times New Roman"/>
          <w:sz w:val="24"/>
          <w:szCs w:val="24"/>
          <w:lang w:val="id-ID"/>
        </w:rPr>
        <w:t>pengayaan ilmiah.</w:t>
      </w:r>
    </w:p>
    <w:p w:rsidR="00E84C37" w:rsidRPr="007064A1" w:rsidRDefault="00E84C37" w:rsidP="00E84C37">
      <w:pPr>
        <w:pStyle w:val="ListParagraph"/>
        <w:spacing w:line="480" w:lineRule="auto"/>
        <w:jc w:val="both"/>
        <w:rPr>
          <w:rFonts w:ascii="Times New Roman" w:hAnsi="Times New Roman" w:cs="Times New Roman"/>
          <w:sz w:val="24"/>
          <w:szCs w:val="24"/>
          <w:lang w:val="en-GB"/>
        </w:rPr>
      </w:pPr>
    </w:p>
    <w:p w:rsidR="007064A1" w:rsidRPr="0078641E" w:rsidRDefault="007064A1" w:rsidP="007064A1">
      <w:pPr>
        <w:pStyle w:val="ListParagraph"/>
        <w:numPr>
          <w:ilvl w:val="1"/>
          <w:numId w:val="12"/>
        </w:numPr>
        <w:spacing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2. </w:t>
      </w:r>
      <w:r>
        <w:rPr>
          <w:rFonts w:ascii="Times New Roman" w:hAnsi="Times New Roman" w:cs="Times New Roman"/>
          <w:b/>
          <w:sz w:val="24"/>
          <w:szCs w:val="24"/>
          <w:lang w:val="en-GB"/>
        </w:rPr>
        <w:t xml:space="preserve">Aspek </w:t>
      </w:r>
      <w:r w:rsidRPr="0078641E">
        <w:rPr>
          <w:rFonts w:ascii="Times New Roman" w:hAnsi="Times New Roman" w:cs="Times New Roman"/>
          <w:b/>
          <w:sz w:val="24"/>
          <w:szCs w:val="24"/>
          <w:lang w:val="id-ID"/>
        </w:rPr>
        <w:t>Praktis</w:t>
      </w:r>
    </w:p>
    <w:p w:rsidR="007064A1" w:rsidRPr="007064A1" w:rsidRDefault="007064A1" w:rsidP="007064A1">
      <w:pPr>
        <w:pStyle w:val="ListParagraph"/>
        <w:numPr>
          <w:ilvl w:val="0"/>
          <w:numId w:val="14"/>
        </w:numPr>
        <w:spacing w:line="480" w:lineRule="auto"/>
        <w:jc w:val="both"/>
        <w:rPr>
          <w:rFonts w:ascii="Times New Roman" w:hAnsi="Times New Roman" w:cs="Times New Roman"/>
          <w:sz w:val="24"/>
          <w:szCs w:val="24"/>
          <w:lang w:val="id-ID"/>
        </w:rPr>
      </w:pPr>
      <w:r w:rsidRPr="007064A1">
        <w:rPr>
          <w:rFonts w:ascii="Times New Roman" w:hAnsi="Times New Roman" w:cs="Times New Roman"/>
          <w:sz w:val="24"/>
          <w:szCs w:val="24"/>
          <w:lang w:val="id-ID"/>
        </w:rPr>
        <w:t xml:space="preserve">Penelitian ini dapat memberikan sumbangan pemikiran maupun pemahaman tentang perilaku </w:t>
      </w:r>
      <w:r w:rsidR="00E84C37">
        <w:rPr>
          <w:rFonts w:ascii="Times New Roman" w:hAnsi="Times New Roman" w:cs="Times New Roman"/>
          <w:sz w:val="24"/>
          <w:szCs w:val="24"/>
        </w:rPr>
        <w:t xml:space="preserve">investor </w:t>
      </w:r>
      <w:r w:rsidRPr="007064A1">
        <w:rPr>
          <w:rFonts w:ascii="Times New Roman" w:hAnsi="Times New Roman" w:cs="Times New Roman"/>
          <w:sz w:val="24"/>
          <w:szCs w:val="24"/>
          <w:lang w:val="id-ID"/>
        </w:rPr>
        <w:t>keuangan di</w:t>
      </w:r>
      <w:r>
        <w:rPr>
          <w:rFonts w:ascii="Times New Roman" w:hAnsi="Times New Roman" w:cs="Times New Roman"/>
          <w:sz w:val="24"/>
          <w:szCs w:val="24"/>
        </w:rPr>
        <w:t xml:space="preserve"> </w:t>
      </w:r>
      <w:r w:rsidRPr="007064A1">
        <w:rPr>
          <w:rFonts w:ascii="Times New Roman" w:hAnsi="Times New Roman" w:cs="Times New Roman"/>
          <w:sz w:val="24"/>
          <w:szCs w:val="24"/>
          <w:lang w:val="id-ID"/>
        </w:rPr>
        <w:t xml:space="preserve">pasar modal. Sehingga para investor akan </w:t>
      </w:r>
      <w:r>
        <w:rPr>
          <w:rFonts w:ascii="Times New Roman" w:hAnsi="Times New Roman" w:cs="Times New Roman"/>
          <w:sz w:val="24"/>
          <w:szCs w:val="24"/>
        </w:rPr>
        <w:t>dapat dime</w:t>
      </w:r>
      <w:r w:rsidR="00E84C37">
        <w:rPr>
          <w:rFonts w:ascii="Times New Roman" w:hAnsi="Times New Roman" w:cs="Times New Roman"/>
          <w:sz w:val="24"/>
          <w:szCs w:val="24"/>
          <w:lang w:val="id-ID"/>
        </w:rPr>
        <w:t xml:space="preserve">ngerti bagaimana </w:t>
      </w:r>
      <w:r w:rsidR="00E84C37">
        <w:rPr>
          <w:rFonts w:ascii="Times New Roman" w:hAnsi="Times New Roman" w:cs="Times New Roman"/>
          <w:sz w:val="24"/>
          <w:szCs w:val="24"/>
        </w:rPr>
        <w:t>reaksi mereka</w:t>
      </w:r>
      <w:r>
        <w:rPr>
          <w:rFonts w:ascii="Times New Roman" w:hAnsi="Times New Roman" w:cs="Times New Roman"/>
          <w:sz w:val="24"/>
          <w:szCs w:val="24"/>
          <w:lang w:val="id-ID"/>
        </w:rPr>
        <w:t xml:space="preserve"> terhadap harga saham</w:t>
      </w:r>
      <w:r w:rsidRPr="007064A1">
        <w:rPr>
          <w:rFonts w:ascii="Times New Roman" w:hAnsi="Times New Roman" w:cs="Times New Roman"/>
          <w:sz w:val="24"/>
          <w:szCs w:val="24"/>
          <w:lang w:val="id-ID"/>
        </w:rPr>
        <w:t xml:space="preserve">. Hasil penelitian ini juga merupakan bukti empiris pengaruh </w:t>
      </w:r>
      <w:r>
        <w:rPr>
          <w:rFonts w:ascii="Times New Roman" w:hAnsi="Times New Roman" w:cs="Times New Roman"/>
          <w:sz w:val="24"/>
          <w:szCs w:val="24"/>
        </w:rPr>
        <w:t xml:space="preserve">kebijakan tariff </w:t>
      </w:r>
      <w:r w:rsidR="00867176">
        <w:rPr>
          <w:rFonts w:ascii="Times New Roman" w:hAnsi="Times New Roman" w:cs="Times New Roman"/>
          <w:sz w:val="24"/>
          <w:szCs w:val="24"/>
        </w:rPr>
        <w:t>bea</w:t>
      </w:r>
      <w:r>
        <w:rPr>
          <w:rFonts w:ascii="Times New Roman" w:hAnsi="Times New Roman" w:cs="Times New Roman"/>
          <w:sz w:val="24"/>
          <w:szCs w:val="24"/>
        </w:rPr>
        <w:t xml:space="preserve"> masuk </w:t>
      </w:r>
      <w:r w:rsidR="00D63C9A">
        <w:rPr>
          <w:rFonts w:ascii="Times New Roman" w:hAnsi="Times New Roman" w:cs="Times New Roman"/>
          <w:sz w:val="24"/>
          <w:szCs w:val="24"/>
        </w:rPr>
        <w:t xml:space="preserve">dan pandemic covid-19 </w:t>
      </w:r>
      <w:r>
        <w:rPr>
          <w:rFonts w:ascii="Times New Roman" w:hAnsi="Times New Roman" w:cs="Times New Roman"/>
          <w:sz w:val="24"/>
          <w:szCs w:val="24"/>
        </w:rPr>
        <w:t>terhadap re</w:t>
      </w:r>
      <w:r w:rsidR="00D63C9A">
        <w:rPr>
          <w:rFonts w:ascii="Times New Roman" w:hAnsi="Times New Roman" w:cs="Times New Roman"/>
          <w:sz w:val="24"/>
          <w:szCs w:val="24"/>
        </w:rPr>
        <w:t>a</w:t>
      </w:r>
      <w:r>
        <w:rPr>
          <w:rFonts w:ascii="Times New Roman" w:hAnsi="Times New Roman" w:cs="Times New Roman"/>
          <w:sz w:val="24"/>
          <w:szCs w:val="24"/>
        </w:rPr>
        <w:t xml:space="preserve">ksi </w:t>
      </w:r>
      <w:r>
        <w:rPr>
          <w:rFonts w:ascii="Times New Roman" w:hAnsi="Times New Roman" w:cs="Times New Roman"/>
          <w:sz w:val="24"/>
          <w:szCs w:val="24"/>
          <w:lang w:val="id-ID"/>
        </w:rPr>
        <w:t xml:space="preserve">investor </w:t>
      </w:r>
      <w:r w:rsidRPr="007064A1">
        <w:rPr>
          <w:rFonts w:ascii="Times New Roman" w:hAnsi="Times New Roman" w:cs="Times New Roman"/>
          <w:sz w:val="24"/>
          <w:szCs w:val="24"/>
          <w:lang w:val="id-ID"/>
        </w:rPr>
        <w:t xml:space="preserve">di pasar modal, khususnya disektor </w:t>
      </w:r>
      <w:r>
        <w:rPr>
          <w:rFonts w:ascii="Times New Roman" w:hAnsi="Times New Roman" w:cs="Times New Roman"/>
          <w:iCs/>
          <w:sz w:val="24"/>
          <w:szCs w:val="24"/>
          <w:lang w:val="en-GB"/>
        </w:rPr>
        <w:t>manufaktur</w:t>
      </w:r>
      <w:r w:rsidRPr="007064A1">
        <w:rPr>
          <w:rFonts w:ascii="Times New Roman" w:hAnsi="Times New Roman" w:cs="Times New Roman"/>
          <w:sz w:val="24"/>
          <w:szCs w:val="24"/>
          <w:lang w:val="id-ID"/>
        </w:rPr>
        <w:t>.</w:t>
      </w:r>
    </w:p>
    <w:p w:rsidR="007064A1" w:rsidRPr="007064A1" w:rsidRDefault="007064A1" w:rsidP="007064A1">
      <w:pPr>
        <w:pStyle w:val="ListParagraph"/>
        <w:numPr>
          <w:ilvl w:val="0"/>
          <w:numId w:val="14"/>
        </w:numPr>
        <w:spacing w:line="480" w:lineRule="auto"/>
        <w:jc w:val="both"/>
        <w:rPr>
          <w:rFonts w:ascii="Times New Roman" w:hAnsi="Times New Roman" w:cs="Times New Roman"/>
          <w:sz w:val="24"/>
          <w:szCs w:val="24"/>
          <w:lang w:val="en-GB"/>
        </w:rPr>
      </w:pPr>
      <w:r w:rsidRPr="007064A1">
        <w:rPr>
          <w:rFonts w:ascii="Times New Roman" w:hAnsi="Times New Roman" w:cs="Times New Roman"/>
          <w:sz w:val="24"/>
          <w:szCs w:val="24"/>
          <w:lang w:val="id-ID"/>
        </w:rPr>
        <w:t>Dapat memberikan masukan dalam pengambilan kebijakan pemerintah yang berkaitan dengan stabilitas ekonomi, sehingga menstimulus masyarakat untuk semakin berperan mendorong pertum</w:t>
      </w:r>
      <w:r>
        <w:rPr>
          <w:rFonts w:ascii="Times New Roman" w:hAnsi="Times New Roman" w:cs="Times New Roman"/>
          <w:sz w:val="24"/>
          <w:szCs w:val="24"/>
          <w:lang w:val="id-ID"/>
        </w:rPr>
        <w:t>buhan ekonomi melalui investasi</w:t>
      </w:r>
      <w:r w:rsidRPr="007064A1">
        <w:rPr>
          <w:rFonts w:ascii="Times New Roman" w:hAnsi="Times New Roman" w:cs="Times New Roman"/>
          <w:sz w:val="24"/>
          <w:szCs w:val="24"/>
          <w:lang w:val="id-ID"/>
        </w:rPr>
        <w:t xml:space="preserve"> di pasar modal.</w:t>
      </w:r>
    </w:p>
    <w:p w:rsidR="00216681" w:rsidRPr="007064A1" w:rsidRDefault="00216681" w:rsidP="007064A1">
      <w:pPr>
        <w:tabs>
          <w:tab w:val="left" w:pos="720"/>
        </w:tabs>
        <w:spacing w:line="480" w:lineRule="auto"/>
        <w:jc w:val="both"/>
        <w:rPr>
          <w:lang w:val="id-ID"/>
        </w:rPr>
      </w:pPr>
      <w:r w:rsidRPr="007064A1">
        <w:rPr>
          <w:b/>
        </w:rPr>
        <w:br w:type="page"/>
      </w:r>
    </w:p>
    <w:p w:rsidR="005E57E2" w:rsidRDefault="005E57E2" w:rsidP="005E57E2">
      <w:pPr>
        <w:pStyle w:val="Heading1"/>
        <w:numPr>
          <w:ilvl w:val="0"/>
          <w:numId w:val="0"/>
        </w:numPr>
        <w:tabs>
          <w:tab w:val="left" w:pos="720"/>
        </w:tabs>
        <w:rPr>
          <w:b/>
          <w:sz w:val="24"/>
          <w:szCs w:val="24"/>
        </w:rPr>
      </w:pPr>
      <w:r>
        <w:rPr>
          <w:b/>
          <w:sz w:val="24"/>
          <w:szCs w:val="24"/>
        </w:rPr>
        <w:lastRenderedPageBreak/>
        <w:t xml:space="preserve">BAB II </w:t>
      </w:r>
    </w:p>
    <w:p w:rsidR="00A83A8E" w:rsidRDefault="005E57E2" w:rsidP="005E57E2">
      <w:pPr>
        <w:pStyle w:val="Heading1"/>
        <w:numPr>
          <w:ilvl w:val="0"/>
          <w:numId w:val="0"/>
        </w:numPr>
        <w:tabs>
          <w:tab w:val="left" w:pos="720"/>
        </w:tabs>
        <w:rPr>
          <w:b/>
          <w:sz w:val="24"/>
          <w:szCs w:val="24"/>
        </w:rPr>
      </w:pPr>
      <w:r>
        <w:rPr>
          <w:b/>
          <w:sz w:val="24"/>
          <w:szCs w:val="24"/>
        </w:rPr>
        <w:t>LANDASAN TEORI</w:t>
      </w:r>
    </w:p>
    <w:p w:rsidR="00A83A8E" w:rsidRPr="00193138" w:rsidRDefault="00A83A8E" w:rsidP="00A83A8E">
      <w:pPr>
        <w:widowControl w:val="0"/>
        <w:spacing w:line="252" w:lineRule="auto"/>
        <w:ind w:firstLine="202"/>
        <w:jc w:val="both"/>
        <w:rPr>
          <w:rFonts w:eastAsia="Times New Roman"/>
          <w:color w:val="000000"/>
          <w:sz w:val="22"/>
          <w:szCs w:val="22"/>
        </w:rPr>
      </w:pPr>
      <w:r>
        <w:rPr>
          <w:rFonts w:eastAsia="Times New Roman"/>
          <w:color w:val="000000"/>
          <w:sz w:val="22"/>
          <w:szCs w:val="22"/>
        </w:rPr>
        <w:t xml:space="preserve"> </w:t>
      </w:r>
    </w:p>
    <w:p w:rsidR="007909C4" w:rsidRPr="00607781" w:rsidRDefault="007909C4" w:rsidP="00A83A8E">
      <w:pPr>
        <w:rPr>
          <w:b/>
          <w:lang w:eastAsia="en-US"/>
        </w:rPr>
      </w:pPr>
      <w:r w:rsidRPr="00607781">
        <w:rPr>
          <w:b/>
          <w:lang w:eastAsia="en-US"/>
        </w:rPr>
        <w:t xml:space="preserve">2.1. </w:t>
      </w:r>
      <w:r w:rsidR="00B91762">
        <w:rPr>
          <w:b/>
          <w:lang w:eastAsia="en-US"/>
        </w:rPr>
        <w:t xml:space="preserve">Teori </w:t>
      </w:r>
      <w:r w:rsidRPr="00607781">
        <w:rPr>
          <w:b/>
          <w:lang w:eastAsia="en-US"/>
        </w:rPr>
        <w:t>Investasi</w:t>
      </w:r>
    </w:p>
    <w:p w:rsidR="007909C4" w:rsidRDefault="007909C4" w:rsidP="007909C4">
      <w:pPr>
        <w:spacing w:line="480" w:lineRule="auto"/>
        <w:contextualSpacing/>
        <w:jc w:val="both"/>
        <w:rPr>
          <w:lang w:val="en-GB"/>
        </w:rPr>
      </w:pPr>
    </w:p>
    <w:p w:rsidR="007909C4" w:rsidRDefault="007909C4" w:rsidP="007909C4">
      <w:pPr>
        <w:spacing w:line="480" w:lineRule="auto"/>
        <w:ind w:firstLine="720"/>
        <w:contextualSpacing/>
        <w:jc w:val="both"/>
        <w:rPr>
          <w:lang w:val="en-GB"/>
        </w:rPr>
      </w:pPr>
      <w:r w:rsidRPr="0087430A">
        <w:rPr>
          <w:lang w:val="en-GB"/>
        </w:rPr>
        <w:t>Investasi</w:t>
      </w:r>
      <w:r>
        <w:rPr>
          <w:lang w:val="en-GB"/>
        </w:rPr>
        <w:t xml:space="preserve"> adalah penempatan sejumlah modal yang dilakukan oleh investor untuk mendapatkan keuntungan dimasa yang akan datang (Kanie, Bodie dan Markus; 2007).  Sharpe el al (1993) menyatakan bahwa investasi adalah pengorbanan aset yang dimiliki sekarang untuk mendapatkan aset pada masa yang akan datang dengan jumlah yang lebih besar. “</w:t>
      </w:r>
      <w:r w:rsidRPr="00245434">
        <w:rPr>
          <w:i/>
          <w:lang w:val="en-GB"/>
        </w:rPr>
        <w:t>An Investment can be defined commitmen</w:t>
      </w:r>
      <w:r>
        <w:rPr>
          <w:i/>
          <w:lang w:val="en-GB"/>
        </w:rPr>
        <w:t xml:space="preserve"> </w:t>
      </w:r>
      <w:r w:rsidRPr="00245434">
        <w:rPr>
          <w:i/>
          <w:lang w:val="en-GB"/>
        </w:rPr>
        <w:t>of fun</w:t>
      </w:r>
      <w:r>
        <w:rPr>
          <w:i/>
          <w:lang w:val="en-GB"/>
        </w:rPr>
        <w:t>d</w:t>
      </w:r>
      <w:r w:rsidRPr="00245434">
        <w:rPr>
          <w:i/>
          <w:lang w:val="en-GB"/>
        </w:rPr>
        <w:t>s to one or more assets that will be held some future time period</w:t>
      </w:r>
      <w:r>
        <w:rPr>
          <w:lang w:val="en-GB"/>
        </w:rPr>
        <w:t xml:space="preserve">” (Jones, 2004). </w:t>
      </w:r>
    </w:p>
    <w:p w:rsidR="007909C4" w:rsidRDefault="007909C4" w:rsidP="007909C4">
      <w:pPr>
        <w:spacing w:line="480" w:lineRule="auto"/>
        <w:contextualSpacing/>
        <w:jc w:val="both"/>
        <w:rPr>
          <w:lang w:val="en-GB"/>
        </w:rPr>
      </w:pPr>
      <w:r>
        <w:rPr>
          <w:lang w:val="en-GB"/>
        </w:rPr>
        <w:t xml:space="preserve">           Investasi oleh investor dapat dilakukan pada sektor rill maupun sektor keuangan. </w:t>
      </w:r>
      <w:r w:rsidR="00F20510">
        <w:rPr>
          <w:lang w:val="en-GB"/>
        </w:rPr>
        <w:t>Bentuk investasi pada s</w:t>
      </w:r>
      <w:r>
        <w:rPr>
          <w:lang w:val="en-GB"/>
        </w:rPr>
        <w:t xml:space="preserve">ektor riil </w:t>
      </w:r>
      <w:r w:rsidR="00F20510">
        <w:rPr>
          <w:lang w:val="en-GB"/>
        </w:rPr>
        <w:t>pada saat investor</w:t>
      </w:r>
      <w:r>
        <w:rPr>
          <w:lang w:val="en-GB"/>
        </w:rPr>
        <w:t xml:space="preserve"> </w:t>
      </w:r>
      <w:r w:rsidR="00F20510">
        <w:rPr>
          <w:lang w:val="en-GB"/>
        </w:rPr>
        <w:t>mendirikan sebuah unit bisnis yang operasionalnya</w:t>
      </w:r>
      <w:r>
        <w:rPr>
          <w:lang w:val="en-GB"/>
        </w:rPr>
        <w:t xml:space="preserve"> bersifat nyata dalam bentuk fisik seperti di bidang manufaktur, properti, perbankan, perkebunan, pertambangan dan lain sebagainya. Sedangkan </w:t>
      </w:r>
      <w:r w:rsidR="00F20510">
        <w:rPr>
          <w:lang w:val="en-GB"/>
        </w:rPr>
        <w:t xml:space="preserve">bentuk </w:t>
      </w:r>
      <w:r>
        <w:rPr>
          <w:lang w:val="en-GB"/>
        </w:rPr>
        <w:t>investasi sektor keuangan adalah be</w:t>
      </w:r>
      <w:r w:rsidR="00F20510">
        <w:rPr>
          <w:lang w:val="en-GB"/>
        </w:rPr>
        <w:t>rupa</w:t>
      </w:r>
      <w:r>
        <w:rPr>
          <w:lang w:val="en-GB"/>
        </w:rPr>
        <w:t xml:space="preserve"> instrumen keuangan </w:t>
      </w:r>
      <w:r w:rsidR="00F20510">
        <w:rPr>
          <w:lang w:val="en-GB"/>
        </w:rPr>
        <w:t xml:space="preserve">misalnya </w:t>
      </w:r>
      <w:r>
        <w:rPr>
          <w:lang w:val="en-GB"/>
        </w:rPr>
        <w:t>seperti saham, obligasi yang diterbitkan oleh perorangan, yayasan, dana pensiun, dana asuransi.</w:t>
      </w:r>
    </w:p>
    <w:p w:rsidR="00502088" w:rsidRDefault="007909C4" w:rsidP="00502088">
      <w:pPr>
        <w:spacing w:line="480" w:lineRule="auto"/>
        <w:jc w:val="both"/>
        <w:rPr>
          <w:lang w:val="en-GB"/>
        </w:rPr>
      </w:pPr>
      <w:r>
        <w:rPr>
          <w:lang w:val="en-GB"/>
        </w:rPr>
        <w:tab/>
        <w:t>Investor tidak hanya dapat berinvestasi di wilayah domestik, namun dengan adanya globalisasi investor dapat berinvestasi dinegara manapun yang</w:t>
      </w:r>
      <w:r w:rsidR="00F20510">
        <w:rPr>
          <w:lang w:val="en-GB"/>
        </w:rPr>
        <w:t xml:space="preserve"> diperkirakan akan dapat memperoleh keuntungan. Investor akan dapat memperoleh berbagai kemudahan ketika melakukan aktivitas transaksi (jual-beli) instrumen keuangan. Oleh karena itu ketika perusahaan investasi juga beroperasi secara internasional maka para investor mempunyai kesempatan yang lebih luas dalam melakukan diversifikasi internasional.</w:t>
      </w:r>
    </w:p>
    <w:p w:rsidR="00502088" w:rsidRDefault="00502088" w:rsidP="00502088">
      <w:pPr>
        <w:spacing w:line="480" w:lineRule="auto"/>
        <w:jc w:val="both"/>
        <w:rPr>
          <w:lang w:val="en-GB"/>
        </w:rPr>
      </w:pPr>
    </w:p>
    <w:p w:rsidR="00502088" w:rsidRPr="00502088" w:rsidRDefault="00502088" w:rsidP="00502088">
      <w:pPr>
        <w:spacing w:line="480" w:lineRule="auto"/>
        <w:jc w:val="both"/>
        <w:rPr>
          <w:lang w:eastAsia="en-US"/>
        </w:rPr>
      </w:pPr>
    </w:p>
    <w:p w:rsidR="00443531" w:rsidRPr="00843F38" w:rsidRDefault="00502088" w:rsidP="00443531">
      <w:pPr>
        <w:pStyle w:val="ListParagraph"/>
        <w:spacing w:line="480" w:lineRule="auto"/>
        <w:ind w:left="0"/>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2.2</w:t>
      </w:r>
      <w:r w:rsidR="00443531">
        <w:rPr>
          <w:rFonts w:ascii="Times New Roman" w:hAnsi="Times New Roman" w:cs="Times New Roman"/>
          <w:b/>
          <w:sz w:val="24"/>
          <w:szCs w:val="24"/>
          <w:lang w:val="en-GB"/>
        </w:rPr>
        <w:t>.</w:t>
      </w:r>
      <w:r w:rsidR="00443531" w:rsidRPr="00843F38">
        <w:rPr>
          <w:rFonts w:ascii="Times New Roman" w:hAnsi="Times New Roman" w:cs="Times New Roman"/>
          <w:b/>
          <w:sz w:val="24"/>
          <w:szCs w:val="24"/>
          <w:lang w:val="en-GB"/>
        </w:rPr>
        <w:t xml:space="preserve"> Sentimen Investor</w:t>
      </w:r>
    </w:p>
    <w:p w:rsidR="00443531" w:rsidRDefault="00443531" w:rsidP="00443531">
      <w:pPr>
        <w:spacing w:line="480" w:lineRule="auto"/>
        <w:ind w:firstLine="720"/>
        <w:contextualSpacing/>
        <w:jc w:val="both"/>
        <w:rPr>
          <w:bCs/>
          <w:color w:val="000000"/>
          <w:lang w:val="en-GB"/>
        </w:rPr>
      </w:pPr>
      <w:r>
        <w:rPr>
          <w:bCs/>
          <w:color w:val="000000"/>
          <w:lang w:val="en-GB"/>
        </w:rPr>
        <w:t>Sentimen Investor adalah</w:t>
      </w:r>
      <w:r w:rsidRPr="009D7E67">
        <w:rPr>
          <w:bCs/>
          <w:color w:val="000000"/>
          <w:lang w:val="en-GB"/>
        </w:rPr>
        <w:t xml:space="preserve"> perilaku dipasar modal berkaitan dengan informasi yang relevan dengan harga saham. Investor berperilaku responsive terhadap informasi yang diterimanya maupun informasi yang belum diterimanya. Informasi yang datang dapat berupa kebisingan,</w:t>
      </w:r>
      <w:r>
        <w:rPr>
          <w:bCs/>
          <w:color w:val="000000"/>
          <w:lang w:val="en-GB"/>
        </w:rPr>
        <w:t xml:space="preserve"> </w:t>
      </w:r>
      <w:r w:rsidRPr="009D7E67">
        <w:rPr>
          <w:bCs/>
          <w:color w:val="000000"/>
          <w:lang w:val="en-GB"/>
        </w:rPr>
        <w:t>rumor atau berita atau pengumuman y</w:t>
      </w:r>
      <w:r>
        <w:rPr>
          <w:bCs/>
          <w:color w:val="000000"/>
          <w:lang w:val="en-GB"/>
        </w:rPr>
        <w:t>ang diberikan oleh bursa saham</w:t>
      </w:r>
      <w:r w:rsidRPr="009D7E67">
        <w:rPr>
          <w:bCs/>
          <w:color w:val="000000"/>
          <w:lang w:val="en-GB"/>
        </w:rPr>
        <w:t xml:space="preserve">. </w:t>
      </w:r>
      <w:r>
        <w:rPr>
          <w:bCs/>
          <w:color w:val="000000"/>
          <w:lang w:val="en-GB"/>
        </w:rPr>
        <w:t xml:space="preserve">Anderson, Ghysels and Jurgens (2005) mendefiniskan sentiment investor sebagai berikut: </w:t>
      </w:r>
      <w:r w:rsidRPr="00365285">
        <w:rPr>
          <w:bCs/>
          <w:i/>
          <w:color w:val="000000"/>
          <w:lang w:val="en-GB"/>
        </w:rPr>
        <w:t>investor sentiment define as erroneous beliefs about future cash flow and risk, significantly affects the prices of all assets</w:t>
      </w:r>
      <w:r>
        <w:rPr>
          <w:bCs/>
          <w:color w:val="000000"/>
          <w:lang w:val="en-GB"/>
        </w:rPr>
        <w:t xml:space="preserve">. </w:t>
      </w:r>
    </w:p>
    <w:p w:rsidR="00443531" w:rsidRDefault="00443531" w:rsidP="00443531">
      <w:pPr>
        <w:spacing w:line="480" w:lineRule="auto"/>
        <w:ind w:firstLine="720"/>
        <w:contextualSpacing/>
        <w:jc w:val="both"/>
        <w:rPr>
          <w:bCs/>
          <w:color w:val="000000"/>
          <w:lang w:val="en-GB"/>
        </w:rPr>
      </w:pPr>
      <w:r>
        <w:rPr>
          <w:bCs/>
          <w:color w:val="000000"/>
          <w:lang w:val="en-GB"/>
        </w:rPr>
        <w:t>Menurut Morck et al</w:t>
      </w:r>
      <w:r w:rsidR="00C20460">
        <w:rPr>
          <w:bCs/>
          <w:color w:val="000000"/>
          <w:lang w:val="en-GB"/>
        </w:rPr>
        <w:t>.</w:t>
      </w:r>
      <w:r>
        <w:rPr>
          <w:bCs/>
          <w:color w:val="000000"/>
          <w:lang w:val="en-GB"/>
        </w:rPr>
        <w:t xml:space="preserve"> (1990) &amp; Baker Wrugler (2007) sentimen investor merupakan keyakinan investor terhadap arus kas perusahaan di masa depan yang tidak didukung oleh informasi fundamental. Sentimen investor terbentuk dari informasi yang bersifat umum dimana investor akan melakukan transaksi di pasar modal melalui spekulasi. </w:t>
      </w:r>
    </w:p>
    <w:p w:rsidR="00443531" w:rsidRDefault="00443531" w:rsidP="00443531">
      <w:pPr>
        <w:spacing w:line="480" w:lineRule="auto"/>
        <w:ind w:firstLine="720"/>
        <w:contextualSpacing/>
        <w:jc w:val="both"/>
        <w:rPr>
          <w:bCs/>
          <w:color w:val="000000"/>
          <w:lang w:val="en-GB"/>
        </w:rPr>
      </w:pPr>
      <w:r>
        <w:rPr>
          <w:bCs/>
          <w:color w:val="000000"/>
          <w:lang w:val="en-GB"/>
        </w:rPr>
        <w:t>Sedangkan Brown dan Cliff (2004) menyebutkan bahwa sentimen investor berasal dari keyakinan subyektif yang dipegang oleh investor. Barberis et al</w:t>
      </w:r>
      <w:r w:rsidR="00C20460">
        <w:rPr>
          <w:bCs/>
          <w:color w:val="000000"/>
          <w:lang w:val="en-GB"/>
        </w:rPr>
        <w:t>.</w:t>
      </w:r>
      <w:r>
        <w:rPr>
          <w:bCs/>
          <w:color w:val="000000"/>
          <w:lang w:val="en-GB"/>
        </w:rPr>
        <w:t xml:space="preserve"> (1998) menyatakan bahwa sentiment investor dapat tercermin dalam </w:t>
      </w:r>
      <w:r w:rsidRPr="00546171">
        <w:rPr>
          <w:bCs/>
          <w:i/>
          <w:color w:val="000000"/>
          <w:lang w:val="en-GB"/>
        </w:rPr>
        <w:t>underreaction</w:t>
      </w:r>
      <w:r>
        <w:rPr>
          <w:bCs/>
          <w:color w:val="000000"/>
          <w:lang w:val="en-GB"/>
        </w:rPr>
        <w:t xml:space="preserve"> atau </w:t>
      </w:r>
      <w:r w:rsidRPr="00546171">
        <w:rPr>
          <w:bCs/>
          <w:i/>
          <w:color w:val="000000"/>
          <w:lang w:val="en-GB"/>
        </w:rPr>
        <w:t>overreaction</w:t>
      </w:r>
      <w:r>
        <w:rPr>
          <w:bCs/>
          <w:color w:val="000000"/>
          <w:lang w:val="en-GB"/>
        </w:rPr>
        <w:t xml:space="preserve"> terhadap kabar baik atau kabar buruk.</w:t>
      </w:r>
    </w:p>
    <w:p w:rsidR="0009268E" w:rsidRDefault="0009268E" w:rsidP="0009268E">
      <w:pPr>
        <w:spacing w:line="480" w:lineRule="auto"/>
        <w:contextualSpacing/>
        <w:jc w:val="both"/>
        <w:rPr>
          <w:bCs/>
          <w:color w:val="000000"/>
          <w:lang w:val="en-GB"/>
        </w:rPr>
      </w:pPr>
    </w:p>
    <w:p w:rsidR="0009268E" w:rsidRPr="0009268E" w:rsidRDefault="00502088" w:rsidP="0009268E">
      <w:pPr>
        <w:spacing w:line="480" w:lineRule="auto"/>
        <w:contextualSpacing/>
        <w:jc w:val="both"/>
        <w:rPr>
          <w:b/>
          <w:bCs/>
          <w:color w:val="000000"/>
          <w:lang w:val="en-GB"/>
        </w:rPr>
      </w:pPr>
      <w:r>
        <w:rPr>
          <w:b/>
          <w:bCs/>
          <w:color w:val="000000"/>
          <w:lang w:val="en-GB"/>
        </w:rPr>
        <w:t>2.3</w:t>
      </w:r>
      <w:r w:rsidR="0009268E" w:rsidRPr="0009268E">
        <w:rPr>
          <w:b/>
          <w:bCs/>
          <w:color w:val="000000"/>
          <w:lang w:val="en-GB"/>
        </w:rPr>
        <w:t xml:space="preserve">. </w:t>
      </w:r>
      <w:r w:rsidR="0009268E" w:rsidRPr="00891145">
        <w:rPr>
          <w:b/>
          <w:bCs/>
          <w:i/>
          <w:color w:val="000000"/>
          <w:lang w:val="en-GB"/>
        </w:rPr>
        <w:t>Panic Buying vs Panic Selling</w:t>
      </w:r>
    </w:p>
    <w:p w:rsidR="004B7BCA" w:rsidRDefault="004B7BCA" w:rsidP="00443531">
      <w:pPr>
        <w:spacing w:line="480" w:lineRule="auto"/>
        <w:ind w:firstLine="720"/>
        <w:contextualSpacing/>
        <w:jc w:val="both"/>
        <w:rPr>
          <w:bCs/>
          <w:color w:val="000000"/>
          <w:lang w:val="en-GB"/>
        </w:rPr>
      </w:pPr>
      <w:r w:rsidRPr="004B7BCA">
        <w:rPr>
          <w:bCs/>
          <w:i/>
          <w:color w:val="000000"/>
          <w:lang w:val="en-GB"/>
        </w:rPr>
        <w:t>Panic buying</w:t>
      </w:r>
      <w:r>
        <w:rPr>
          <w:bCs/>
          <w:color w:val="000000"/>
          <w:lang w:val="en-GB"/>
        </w:rPr>
        <w:t xml:space="preserve"> merupakan</w:t>
      </w:r>
      <w:r w:rsidRPr="004B7BCA">
        <w:rPr>
          <w:bCs/>
          <w:color w:val="000000"/>
          <w:lang w:val="en-GB"/>
        </w:rPr>
        <w:t xml:space="preserve"> salah s</w:t>
      </w:r>
      <w:r w:rsidR="001877DA">
        <w:rPr>
          <w:bCs/>
          <w:color w:val="000000"/>
          <w:lang w:val="en-GB"/>
        </w:rPr>
        <w:t>atu jenis perilaku konsumen</w:t>
      </w:r>
      <w:r>
        <w:rPr>
          <w:bCs/>
          <w:color w:val="000000"/>
          <w:lang w:val="en-GB"/>
        </w:rPr>
        <w:t>.</w:t>
      </w:r>
      <w:r w:rsidRPr="004B7BCA">
        <w:rPr>
          <w:bCs/>
          <w:color w:val="000000"/>
          <w:lang w:val="en-GB"/>
        </w:rPr>
        <w:t xml:space="preserve"> </w:t>
      </w:r>
      <w:r>
        <w:rPr>
          <w:bCs/>
          <w:color w:val="000000"/>
          <w:lang w:val="en-GB"/>
        </w:rPr>
        <w:t xml:space="preserve">(Bruce Jones &amp; David Steven, halaman 12). </w:t>
      </w:r>
      <w:r w:rsidR="009E423A">
        <w:rPr>
          <w:bCs/>
          <w:color w:val="000000"/>
          <w:lang w:val="en-GB"/>
        </w:rPr>
        <w:t>Hal ini sebagai bentuk dari</w:t>
      </w:r>
      <w:r w:rsidRPr="004B7BCA">
        <w:rPr>
          <w:bCs/>
          <w:color w:val="000000"/>
          <w:lang w:val="en-GB"/>
        </w:rPr>
        <w:t xml:space="preserve"> mina</w:t>
      </w:r>
      <w:r>
        <w:rPr>
          <w:bCs/>
          <w:color w:val="000000"/>
          <w:lang w:val="en-GB"/>
        </w:rPr>
        <w:t>t dalam teori perilaku konsumen</w:t>
      </w:r>
      <w:r w:rsidRPr="004B7BCA">
        <w:rPr>
          <w:bCs/>
          <w:color w:val="000000"/>
          <w:lang w:val="en-GB"/>
        </w:rPr>
        <w:t>, bidang studi ekonomi yang luas ber</w:t>
      </w:r>
      <w:r>
        <w:rPr>
          <w:bCs/>
          <w:color w:val="000000"/>
          <w:lang w:val="en-GB"/>
        </w:rPr>
        <w:t>urusan dengan penjelasan untuk suatu</w:t>
      </w:r>
      <w:r w:rsidRPr="004B7BCA">
        <w:rPr>
          <w:bCs/>
          <w:color w:val="000000"/>
          <w:lang w:val="en-GB"/>
        </w:rPr>
        <w:t xml:space="preserve"> </w:t>
      </w:r>
      <w:r>
        <w:rPr>
          <w:bCs/>
          <w:color w:val="000000"/>
          <w:lang w:val="en-GB"/>
        </w:rPr>
        <w:t>tindakan kolektif seperti gaya, pergerakan pasar saham</w:t>
      </w:r>
      <w:r w:rsidRPr="004B7BCA">
        <w:rPr>
          <w:bCs/>
          <w:color w:val="000000"/>
          <w:lang w:val="en-GB"/>
        </w:rPr>
        <w:t>, berjalan pa</w:t>
      </w:r>
      <w:r>
        <w:rPr>
          <w:bCs/>
          <w:color w:val="000000"/>
          <w:lang w:val="en-GB"/>
        </w:rPr>
        <w:t>da barang yang tidak tahan lama, membeli barang-barang, menimbun, dan kepanikan perbankan. (William M.S. &amp; EH Bonfield</w:t>
      </w:r>
      <w:r w:rsidR="0009268E">
        <w:rPr>
          <w:bCs/>
          <w:color w:val="000000"/>
          <w:lang w:val="en-GB"/>
        </w:rPr>
        <w:t xml:space="preserve">, </w:t>
      </w:r>
      <w:r w:rsidR="0009268E" w:rsidRPr="0009268E">
        <w:rPr>
          <w:rStyle w:val="reference-text"/>
          <w:i/>
          <w:iCs/>
          <w:color w:val="202122"/>
          <w:bdr w:val="none" w:sz="0" w:space="0" w:color="auto" w:frame="1"/>
          <w:shd w:val="clear" w:color="auto" w:fill="FFFFFF"/>
        </w:rPr>
        <w:t xml:space="preserve">Advances in Consumer </w:t>
      </w:r>
      <w:r w:rsidR="0009268E" w:rsidRPr="0009268E">
        <w:rPr>
          <w:rStyle w:val="reference-text"/>
          <w:i/>
          <w:iCs/>
          <w:color w:val="202122"/>
          <w:bdr w:val="none" w:sz="0" w:space="0" w:color="auto" w:frame="1"/>
          <w:shd w:val="clear" w:color="auto" w:fill="FFFFFF"/>
        </w:rPr>
        <w:lastRenderedPageBreak/>
        <w:t>Research</w:t>
      </w:r>
      <w:r w:rsidR="0009268E" w:rsidRPr="0009268E">
        <w:rPr>
          <w:rStyle w:val="reference-text"/>
          <w:color w:val="202122"/>
          <w:bdr w:val="none" w:sz="0" w:space="0" w:color="auto" w:frame="1"/>
          <w:shd w:val="clear" w:color="auto" w:fill="FFFFFF"/>
        </w:rPr>
        <w:t>, Volume 16, 1989, eds.</w:t>
      </w:r>
      <w:r w:rsidR="0009268E" w:rsidRPr="0009268E">
        <w:rPr>
          <w:color w:val="202122"/>
          <w:shd w:val="clear" w:color="auto" w:fill="FFFFFF"/>
        </w:rPr>
        <w:t> </w:t>
      </w:r>
      <w:r w:rsidR="0009268E" w:rsidRPr="0009268E">
        <w:rPr>
          <w:rStyle w:val="reference-text"/>
          <w:color w:val="202122"/>
          <w:bdr w:val="none" w:sz="0" w:space="0" w:color="auto" w:frame="1"/>
          <w:shd w:val="clear" w:color="auto" w:fill="FFFFFF"/>
        </w:rPr>
        <w:t>Thomas K. Srull, Provo, UT: Association for Consumer Research, pp.</w:t>
      </w:r>
      <w:r w:rsidR="0009268E" w:rsidRPr="0009268E">
        <w:rPr>
          <w:color w:val="202122"/>
          <w:shd w:val="clear" w:color="auto" w:fill="FFFFFF"/>
        </w:rPr>
        <w:t> </w:t>
      </w:r>
      <w:r w:rsidR="0009268E" w:rsidRPr="0009268E">
        <w:rPr>
          <w:rStyle w:val="reference-text"/>
          <w:color w:val="202122"/>
          <w:bdr w:val="none" w:sz="0" w:space="0" w:color="auto" w:frame="1"/>
          <w:shd w:val="clear" w:color="auto" w:fill="FFFFFF"/>
        </w:rPr>
        <w:t>567–573</w:t>
      </w:r>
      <w:r>
        <w:rPr>
          <w:bCs/>
          <w:color w:val="000000"/>
          <w:lang w:val="en-GB"/>
        </w:rPr>
        <w:t>)</w:t>
      </w:r>
      <w:r w:rsidR="0009268E">
        <w:rPr>
          <w:bCs/>
          <w:color w:val="000000"/>
          <w:lang w:val="en-GB"/>
        </w:rPr>
        <w:t>.</w:t>
      </w:r>
    </w:p>
    <w:p w:rsidR="0028213E" w:rsidRDefault="0028213E" w:rsidP="00443531">
      <w:pPr>
        <w:spacing w:line="480" w:lineRule="auto"/>
        <w:ind w:firstLine="720"/>
        <w:contextualSpacing/>
        <w:jc w:val="both"/>
        <w:rPr>
          <w:bCs/>
          <w:color w:val="000000"/>
          <w:lang w:val="en-GB"/>
        </w:rPr>
      </w:pPr>
      <w:r w:rsidRPr="0028213E">
        <w:rPr>
          <w:bCs/>
          <w:i/>
          <w:color w:val="000000"/>
          <w:lang w:val="en-GB"/>
        </w:rPr>
        <w:t>Panic buying</w:t>
      </w:r>
      <w:r>
        <w:rPr>
          <w:bCs/>
          <w:color w:val="000000"/>
          <w:lang w:val="en-GB"/>
        </w:rPr>
        <w:t xml:space="preserve"> sebuah situasi tatkala</w:t>
      </w:r>
      <w:r w:rsidRPr="0028213E">
        <w:rPr>
          <w:bCs/>
          <w:color w:val="000000"/>
          <w:lang w:val="en-GB"/>
        </w:rPr>
        <w:t xml:space="preserve"> banyak orang tiba-tiba m</w:t>
      </w:r>
      <w:r>
        <w:rPr>
          <w:bCs/>
          <w:color w:val="000000"/>
          <w:lang w:val="en-GB"/>
        </w:rPr>
        <w:t>embeli makanan, bahan bakar, dan lain lain</w:t>
      </w:r>
      <w:r w:rsidRPr="0028213E">
        <w:rPr>
          <w:bCs/>
          <w:color w:val="000000"/>
          <w:lang w:val="en-GB"/>
        </w:rPr>
        <w:t xml:space="preserve"> sebanyak mungkin karena mereka khawatir akan sesuatu yang buruk yang mungkin terjadi.</w:t>
      </w:r>
      <w:r>
        <w:rPr>
          <w:bCs/>
          <w:color w:val="000000"/>
          <w:lang w:val="en-GB"/>
        </w:rPr>
        <w:t xml:space="preserve"> Namun hal sebaliknya dapat terjadi di pasar modal terutama di bursa saham. Kondisi tersebut mengakibatkan terjadinya </w:t>
      </w:r>
      <w:r w:rsidRPr="001B02E3">
        <w:rPr>
          <w:bCs/>
          <w:i/>
          <w:color w:val="000000"/>
          <w:lang w:val="en-GB"/>
        </w:rPr>
        <w:t>panic selling</w:t>
      </w:r>
      <w:r>
        <w:rPr>
          <w:bCs/>
          <w:color w:val="000000"/>
          <w:lang w:val="en-GB"/>
        </w:rPr>
        <w:t xml:space="preserve"> yaitu ketika sebagian dari investor menjual saham yang dimilikinya dalam volume yang besar dan cepat.</w:t>
      </w:r>
      <w:r w:rsidR="001B02E3">
        <w:rPr>
          <w:bCs/>
          <w:color w:val="000000"/>
          <w:lang w:val="en-GB"/>
        </w:rPr>
        <w:t xml:space="preserve"> Dua istilah tersebut dapat diartikan secara ringkas bahwa </w:t>
      </w:r>
      <w:r w:rsidR="001B02E3" w:rsidRPr="001B02E3">
        <w:rPr>
          <w:bCs/>
          <w:i/>
          <w:color w:val="000000"/>
          <w:lang w:val="en-GB"/>
        </w:rPr>
        <w:t>panic buying</w:t>
      </w:r>
      <w:r w:rsidR="001B02E3">
        <w:rPr>
          <w:bCs/>
          <w:color w:val="000000"/>
          <w:lang w:val="en-GB"/>
        </w:rPr>
        <w:t xml:space="preserve"> merupakan sifat keserakahan invidu, sedangkan </w:t>
      </w:r>
      <w:r w:rsidR="001B02E3" w:rsidRPr="001B02E3">
        <w:rPr>
          <w:bCs/>
          <w:i/>
          <w:color w:val="000000"/>
          <w:lang w:val="en-GB"/>
        </w:rPr>
        <w:t>panic selling</w:t>
      </w:r>
      <w:r w:rsidR="001B02E3">
        <w:rPr>
          <w:bCs/>
          <w:color w:val="000000"/>
          <w:lang w:val="en-GB"/>
        </w:rPr>
        <w:t xml:space="preserve"> merupakan bentuk ketakutan kehilangan uang yang dimiliki. </w:t>
      </w:r>
      <w:r w:rsidR="001B02E3" w:rsidRPr="001B02E3">
        <w:rPr>
          <w:bCs/>
          <w:i/>
          <w:color w:val="000000"/>
          <w:lang w:val="en-GB"/>
        </w:rPr>
        <w:t>Panic buying</w:t>
      </w:r>
      <w:r w:rsidR="001B02E3" w:rsidRPr="001B02E3">
        <w:rPr>
          <w:bCs/>
          <w:color w:val="000000"/>
          <w:lang w:val="en-GB"/>
        </w:rPr>
        <w:t xml:space="preserve"> dan </w:t>
      </w:r>
      <w:r w:rsidR="001B02E3" w:rsidRPr="001B02E3">
        <w:rPr>
          <w:bCs/>
          <w:i/>
          <w:color w:val="000000"/>
          <w:lang w:val="en-GB"/>
        </w:rPr>
        <w:t xml:space="preserve">panic selling </w:t>
      </w:r>
      <w:r w:rsidR="001B02E3" w:rsidRPr="001B02E3">
        <w:rPr>
          <w:bCs/>
          <w:color w:val="000000"/>
          <w:lang w:val="en-GB"/>
        </w:rPr>
        <w:t xml:space="preserve">dalam </w:t>
      </w:r>
      <w:r w:rsidR="001B02E3">
        <w:rPr>
          <w:bCs/>
          <w:color w:val="000000"/>
          <w:lang w:val="en-GB"/>
        </w:rPr>
        <w:t>skala makro dapat menimbulkan</w:t>
      </w:r>
      <w:r w:rsidR="001B02E3" w:rsidRPr="001B02E3">
        <w:rPr>
          <w:bCs/>
          <w:color w:val="000000"/>
          <w:lang w:val="en-GB"/>
        </w:rPr>
        <w:t xml:space="preserve"> </w:t>
      </w:r>
      <w:r w:rsidR="001B02E3">
        <w:rPr>
          <w:bCs/>
          <w:color w:val="000000"/>
          <w:lang w:val="en-GB"/>
        </w:rPr>
        <w:t xml:space="preserve">situasi yang dramatis </w:t>
      </w:r>
      <w:r w:rsidR="001B02E3" w:rsidRPr="001B02E3">
        <w:rPr>
          <w:bCs/>
          <w:color w:val="000000"/>
          <w:lang w:val="en-GB"/>
        </w:rPr>
        <w:t>mengarah pada perubahan pasar dalam berbagai skenario.</w:t>
      </w:r>
      <w:r w:rsidR="001B02E3">
        <w:rPr>
          <w:bCs/>
          <w:color w:val="000000"/>
          <w:lang w:val="en-GB"/>
        </w:rPr>
        <w:t xml:space="preserve"> </w:t>
      </w:r>
      <w:r w:rsidR="001B02E3" w:rsidRPr="008F0973">
        <w:rPr>
          <w:bCs/>
          <w:i/>
          <w:color w:val="000000"/>
          <w:lang w:val="en-GB"/>
        </w:rPr>
        <w:t>Panic buying</w:t>
      </w:r>
      <w:r w:rsidR="001B02E3">
        <w:rPr>
          <w:bCs/>
          <w:color w:val="000000"/>
          <w:lang w:val="en-GB"/>
        </w:rPr>
        <w:t xml:space="preserve"> dapat meningkatkan laju inflasi sementara </w:t>
      </w:r>
      <w:r w:rsidR="001B02E3" w:rsidRPr="008F0973">
        <w:rPr>
          <w:bCs/>
          <w:i/>
          <w:color w:val="000000"/>
          <w:lang w:val="en-GB"/>
        </w:rPr>
        <w:t>panic selling</w:t>
      </w:r>
      <w:r w:rsidR="001B02E3">
        <w:rPr>
          <w:bCs/>
          <w:color w:val="000000"/>
          <w:lang w:val="en-GB"/>
        </w:rPr>
        <w:t xml:space="preserve"> dapat menurunkan indeks harga saham.</w:t>
      </w:r>
    </w:p>
    <w:p w:rsidR="00AE6FE3" w:rsidRDefault="00AE6FE3" w:rsidP="00443531">
      <w:pPr>
        <w:spacing w:line="480" w:lineRule="auto"/>
        <w:ind w:firstLine="720"/>
        <w:contextualSpacing/>
        <w:jc w:val="both"/>
        <w:rPr>
          <w:bCs/>
          <w:color w:val="000000"/>
          <w:lang w:val="en-GB"/>
        </w:rPr>
      </w:pPr>
      <w:r w:rsidRPr="00AE6FE3">
        <w:rPr>
          <w:bCs/>
          <w:i/>
          <w:color w:val="000000"/>
          <w:lang w:val="en-GB"/>
        </w:rPr>
        <w:t>Panic buying</w:t>
      </w:r>
      <w:r w:rsidRPr="00AE6FE3">
        <w:rPr>
          <w:bCs/>
          <w:color w:val="000000"/>
          <w:lang w:val="en-GB"/>
        </w:rPr>
        <w:t xml:space="preserve"> selama kri</w:t>
      </w:r>
      <w:r>
        <w:rPr>
          <w:bCs/>
          <w:color w:val="000000"/>
          <w:lang w:val="en-GB"/>
        </w:rPr>
        <w:t xml:space="preserve">sis kesehatan dipengaruhi oleh: </w:t>
      </w:r>
      <w:r w:rsidRPr="00AE6FE3">
        <w:rPr>
          <w:bCs/>
          <w:color w:val="000000"/>
          <w:lang w:val="en-GB"/>
        </w:rPr>
        <w:t xml:space="preserve">(1) persepsi individu tentang ancaman krisis kesehatan dan kelangkaan produk; (2) ketakutan akan hal yang tidak diketahui, yang disebabkan oleh tekanan emosional dan ketidakpastian; (3) perilaku koping, yang memandang </w:t>
      </w:r>
      <w:r w:rsidRPr="001877DA">
        <w:rPr>
          <w:bCs/>
          <w:i/>
          <w:color w:val="000000"/>
          <w:lang w:val="en-GB"/>
        </w:rPr>
        <w:t>panic buying</w:t>
      </w:r>
      <w:r w:rsidRPr="00AE6FE3">
        <w:rPr>
          <w:bCs/>
          <w:color w:val="000000"/>
          <w:lang w:val="en-GB"/>
        </w:rPr>
        <w:t xml:space="preserve"> sebagai tempat untuk menghilangkan kecemasan dan mendapatkan kembali kendali atas krisis, dan (4) faktor psikologis sosial, yang memperhitungkan pengaruh jaringan sosial individu.</w:t>
      </w:r>
      <w:r>
        <w:rPr>
          <w:bCs/>
          <w:color w:val="000000"/>
          <w:lang w:val="en-GB"/>
        </w:rPr>
        <w:t xml:space="preserve"> (</w:t>
      </w:r>
      <w:r w:rsidRPr="00AE6FE3">
        <w:rPr>
          <w:noProof/>
        </w:rPr>
        <w:t>Yuen, Kum Fai; Wang, Xueqin; M</w:t>
      </w:r>
      <w:r>
        <w:rPr>
          <w:noProof/>
        </w:rPr>
        <w:t xml:space="preserve">a, Fei; Li, Kevin X. </w:t>
      </w:r>
      <w:r w:rsidRPr="00AE6FE3">
        <w:rPr>
          <w:noProof/>
        </w:rPr>
        <w:t>International Journal of Environmental Research and Public Health).</w:t>
      </w:r>
    </w:p>
    <w:p w:rsidR="003E08A0" w:rsidRDefault="008F0973" w:rsidP="00443531">
      <w:pPr>
        <w:spacing w:line="480" w:lineRule="auto"/>
        <w:ind w:firstLine="720"/>
        <w:contextualSpacing/>
        <w:jc w:val="both"/>
        <w:rPr>
          <w:bCs/>
          <w:color w:val="000000"/>
          <w:lang w:val="en-GB"/>
        </w:rPr>
      </w:pPr>
      <w:r>
        <w:rPr>
          <w:bCs/>
          <w:color w:val="000000"/>
          <w:lang w:val="en-GB"/>
        </w:rPr>
        <w:t>Masyarakat saat awal menghadapi kondisi pandemi covid-19 melakukan</w:t>
      </w:r>
      <w:r w:rsidR="003E08A0">
        <w:rPr>
          <w:bCs/>
          <w:color w:val="000000"/>
          <w:lang w:val="en-GB"/>
        </w:rPr>
        <w:t xml:space="preserve"> </w:t>
      </w:r>
      <w:r w:rsidR="003E08A0" w:rsidRPr="008F0973">
        <w:rPr>
          <w:bCs/>
          <w:i/>
          <w:color w:val="000000"/>
          <w:lang w:val="en-GB"/>
        </w:rPr>
        <w:t>panic buying</w:t>
      </w:r>
      <w:r w:rsidR="003E08A0">
        <w:rPr>
          <w:bCs/>
          <w:color w:val="000000"/>
          <w:lang w:val="en-GB"/>
        </w:rPr>
        <w:t xml:space="preserve"> </w:t>
      </w:r>
      <w:r>
        <w:rPr>
          <w:bCs/>
          <w:color w:val="000000"/>
          <w:lang w:val="en-GB"/>
        </w:rPr>
        <w:t xml:space="preserve">yaitu, </w:t>
      </w:r>
      <w:r w:rsidR="003E08A0">
        <w:rPr>
          <w:bCs/>
          <w:color w:val="000000"/>
          <w:lang w:val="en-GB"/>
        </w:rPr>
        <w:t>ber</w:t>
      </w:r>
      <w:r w:rsidR="003E08A0" w:rsidRPr="003E08A0">
        <w:rPr>
          <w:bCs/>
          <w:color w:val="000000"/>
          <w:lang w:val="en-GB"/>
        </w:rPr>
        <w:t xml:space="preserve">amai-ramai memborong </w:t>
      </w:r>
      <w:r w:rsidR="003E08A0">
        <w:rPr>
          <w:bCs/>
          <w:color w:val="000000"/>
          <w:lang w:val="en-GB"/>
        </w:rPr>
        <w:t>kebutuhan yang diasumsikan menjadi sangat genting</w:t>
      </w:r>
      <w:r>
        <w:rPr>
          <w:bCs/>
          <w:color w:val="000000"/>
          <w:lang w:val="en-GB"/>
        </w:rPr>
        <w:t>. Sebagai contoh</w:t>
      </w:r>
      <w:r w:rsidR="003E08A0">
        <w:rPr>
          <w:bCs/>
          <w:color w:val="000000"/>
          <w:lang w:val="en-GB"/>
        </w:rPr>
        <w:t xml:space="preserve"> misalnya: </w:t>
      </w:r>
      <w:r w:rsidR="003E08A0" w:rsidRPr="003E08A0">
        <w:rPr>
          <w:bCs/>
          <w:color w:val="000000"/>
          <w:lang w:val="en-GB"/>
        </w:rPr>
        <w:t xml:space="preserve">sembako, masker, cairan pembersih tangan atau </w:t>
      </w:r>
      <w:r w:rsidR="003E08A0" w:rsidRPr="008F0973">
        <w:rPr>
          <w:bCs/>
          <w:i/>
          <w:color w:val="000000"/>
          <w:lang w:val="en-GB"/>
        </w:rPr>
        <w:t>hand sanitizer</w:t>
      </w:r>
      <w:r w:rsidR="003E08A0" w:rsidRPr="003E08A0">
        <w:rPr>
          <w:bCs/>
          <w:color w:val="000000"/>
          <w:lang w:val="en-GB"/>
        </w:rPr>
        <w:t xml:space="preserve">, sabun, bahkan </w:t>
      </w:r>
      <w:r w:rsidR="003E08A0" w:rsidRPr="003E08A0">
        <w:rPr>
          <w:bCs/>
          <w:color w:val="000000"/>
          <w:lang w:val="en-GB"/>
        </w:rPr>
        <w:lastRenderedPageBreak/>
        <w:t xml:space="preserve">sampai alat pengukur suhu tubuh. </w:t>
      </w:r>
      <w:r>
        <w:rPr>
          <w:bCs/>
          <w:color w:val="000000"/>
          <w:lang w:val="en-GB"/>
        </w:rPr>
        <w:t>Akibatnya d</w:t>
      </w:r>
      <w:r w:rsidR="003E08A0" w:rsidRPr="003E08A0">
        <w:rPr>
          <w:bCs/>
          <w:color w:val="000000"/>
          <w:lang w:val="en-GB"/>
        </w:rPr>
        <w:t>i sejumlah minimarket d</w:t>
      </w:r>
      <w:r>
        <w:rPr>
          <w:bCs/>
          <w:color w:val="000000"/>
          <w:lang w:val="en-GB"/>
        </w:rPr>
        <w:t>an supermarket besar di beberapa kota ternyata</w:t>
      </w:r>
      <w:r w:rsidR="003E08A0" w:rsidRPr="003E08A0">
        <w:rPr>
          <w:bCs/>
          <w:color w:val="000000"/>
          <w:lang w:val="en-GB"/>
        </w:rPr>
        <w:t xml:space="preserve"> barang-barang </w:t>
      </w:r>
      <w:r>
        <w:rPr>
          <w:bCs/>
          <w:color w:val="000000"/>
          <w:lang w:val="en-GB"/>
        </w:rPr>
        <w:t>kebutuhan pokok tidak tersedia mencukupi</w:t>
      </w:r>
      <w:r w:rsidR="003E08A0" w:rsidRPr="003E08A0">
        <w:rPr>
          <w:bCs/>
          <w:color w:val="000000"/>
          <w:lang w:val="en-GB"/>
        </w:rPr>
        <w:t>.</w:t>
      </w:r>
    </w:p>
    <w:p w:rsidR="003E08A0" w:rsidRDefault="003E08A0" w:rsidP="00443531">
      <w:pPr>
        <w:spacing w:line="480" w:lineRule="auto"/>
        <w:ind w:firstLine="720"/>
        <w:contextualSpacing/>
        <w:jc w:val="both"/>
        <w:rPr>
          <w:bCs/>
          <w:color w:val="000000"/>
          <w:lang w:val="en-GB"/>
        </w:rPr>
      </w:pPr>
      <w:r>
        <w:rPr>
          <w:bCs/>
          <w:color w:val="000000"/>
          <w:lang w:val="en-GB"/>
        </w:rPr>
        <w:t>Situasi seperti ini sebagai penyebab masyarakat kawatir</w:t>
      </w:r>
      <w:r w:rsidRPr="003E08A0">
        <w:rPr>
          <w:bCs/>
          <w:color w:val="000000"/>
          <w:lang w:val="en-GB"/>
        </w:rPr>
        <w:t xml:space="preserve"> t</w:t>
      </w:r>
      <w:r>
        <w:rPr>
          <w:bCs/>
          <w:color w:val="000000"/>
          <w:lang w:val="en-GB"/>
        </w:rPr>
        <w:t>ida</w:t>
      </w:r>
      <w:r w:rsidRPr="003E08A0">
        <w:rPr>
          <w:bCs/>
          <w:color w:val="000000"/>
          <w:lang w:val="en-GB"/>
        </w:rPr>
        <w:t xml:space="preserve">k kebagian stok bahan makanan bila pemerintah sampai menerapkan </w:t>
      </w:r>
      <w:r w:rsidRPr="003E08A0">
        <w:rPr>
          <w:bCs/>
          <w:i/>
          <w:color w:val="000000"/>
          <w:lang w:val="en-GB"/>
        </w:rPr>
        <w:t>lockdown</w:t>
      </w:r>
      <w:r w:rsidR="008F0973">
        <w:rPr>
          <w:bCs/>
          <w:color w:val="000000"/>
          <w:lang w:val="en-GB"/>
        </w:rPr>
        <w:t>.</w:t>
      </w:r>
      <w:r w:rsidRPr="003E08A0">
        <w:rPr>
          <w:bCs/>
          <w:color w:val="000000"/>
          <w:lang w:val="en-GB"/>
        </w:rPr>
        <w:t xml:space="preserve"> </w:t>
      </w:r>
      <w:r w:rsidR="008F0973">
        <w:rPr>
          <w:bCs/>
          <w:color w:val="000000"/>
          <w:lang w:val="en-GB"/>
        </w:rPr>
        <w:t>Beberapa institusi membuat kebijakan</w:t>
      </w:r>
      <w:r w:rsidR="00524FDF">
        <w:rPr>
          <w:bCs/>
          <w:color w:val="000000"/>
          <w:lang w:val="en-GB"/>
        </w:rPr>
        <w:t xml:space="preserve"> bahwa aktivitas rutin menggunakan istilah </w:t>
      </w:r>
      <w:r w:rsidR="00891145">
        <w:rPr>
          <w:bCs/>
          <w:i/>
          <w:color w:val="000000"/>
          <w:lang w:val="en-GB"/>
        </w:rPr>
        <w:t>Work f</w:t>
      </w:r>
      <w:r w:rsidR="00524FDF" w:rsidRPr="00524FDF">
        <w:rPr>
          <w:bCs/>
          <w:i/>
          <w:color w:val="000000"/>
          <w:lang w:val="en-GB"/>
        </w:rPr>
        <w:t>rom Home</w:t>
      </w:r>
      <w:r w:rsidR="00524FDF">
        <w:rPr>
          <w:bCs/>
          <w:color w:val="000000"/>
          <w:lang w:val="en-GB"/>
        </w:rPr>
        <w:t xml:space="preserve"> (</w:t>
      </w:r>
      <w:r w:rsidR="00A20911" w:rsidRPr="003E08A0">
        <w:rPr>
          <w:bCs/>
          <w:color w:val="000000"/>
          <w:lang w:val="en-GB"/>
        </w:rPr>
        <w:t>WFH)</w:t>
      </w:r>
      <w:r w:rsidR="00A20911">
        <w:rPr>
          <w:bCs/>
          <w:color w:val="000000"/>
          <w:lang w:val="en-GB"/>
        </w:rPr>
        <w:t xml:space="preserve"> yaitu, beraktivitas dari ru</w:t>
      </w:r>
      <w:r w:rsidRPr="003E08A0">
        <w:rPr>
          <w:bCs/>
          <w:color w:val="000000"/>
          <w:lang w:val="en-GB"/>
        </w:rPr>
        <w:t>mah</w:t>
      </w:r>
      <w:r w:rsidR="00A20911">
        <w:rPr>
          <w:bCs/>
          <w:color w:val="000000"/>
          <w:lang w:val="en-GB"/>
        </w:rPr>
        <w:t xml:space="preserve"> s</w:t>
      </w:r>
      <w:r w:rsidRPr="003E08A0">
        <w:rPr>
          <w:bCs/>
          <w:color w:val="000000"/>
          <w:lang w:val="en-GB"/>
        </w:rPr>
        <w:t>aja, seperti, belajar, b</w:t>
      </w:r>
      <w:r w:rsidR="00A20911">
        <w:rPr>
          <w:bCs/>
          <w:color w:val="000000"/>
          <w:lang w:val="en-GB"/>
        </w:rPr>
        <w:t>eribadah</w:t>
      </w:r>
      <w:r w:rsidRPr="003E08A0">
        <w:rPr>
          <w:bCs/>
          <w:color w:val="000000"/>
          <w:lang w:val="en-GB"/>
        </w:rPr>
        <w:t>.</w:t>
      </w:r>
    </w:p>
    <w:p w:rsidR="00597E24" w:rsidRDefault="00597E24" w:rsidP="00443531">
      <w:pPr>
        <w:spacing w:line="480" w:lineRule="auto"/>
        <w:ind w:firstLine="720"/>
        <w:contextualSpacing/>
        <w:jc w:val="both"/>
        <w:rPr>
          <w:bCs/>
          <w:color w:val="000000"/>
          <w:lang w:val="en-GB"/>
        </w:rPr>
      </w:pPr>
      <w:r>
        <w:rPr>
          <w:bCs/>
          <w:color w:val="000000"/>
          <w:lang w:val="en-GB"/>
        </w:rPr>
        <w:t xml:space="preserve">Masyarakat kelas menengah </w:t>
      </w:r>
      <w:r w:rsidR="001877DA">
        <w:rPr>
          <w:bCs/>
          <w:color w:val="000000"/>
          <w:lang w:val="en-GB"/>
        </w:rPr>
        <w:t xml:space="preserve">atas </w:t>
      </w:r>
      <w:r w:rsidR="00D64D06">
        <w:rPr>
          <w:bCs/>
          <w:color w:val="000000"/>
          <w:lang w:val="en-GB"/>
        </w:rPr>
        <w:t xml:space="preserve">mayoritas </w:t>
      </w:r>
      <w:r w:rsidRPr="00597E24">
        <w:rPr>
          <w:bCs/>
          <w:color w:val="000000"/>
          <w:lang w:val="en-GB"/>
        </w:rPr>
        <w:t xml:space="preserve">melakukan </w:t>
      </w:r>
      <w:r w:rsidRPr="00597E24">
        <w:rPr>
          <w:bCs/>
          <w:i/>
          <w:color w:val="000000"/>
          <w:lang w:val="en-GB"/>
        </w:rPr>
        <w:t>panic buying</w:t>
      </w:r>
      <w:r>
        <w:rPr>
          <w:bCs/>
          <w:color w:val="000000"/>
          <w:lang w:val="en-GB"/>
        </w:rPr>
        <w:t xml:space="preserve"> sehingga</w:t>
      </w:r>
      <w:r w:rsidRPr="00597E24">
        <w:rPr>
          <w:bCs/>
          <w:color w:val="000000"/>
          <w:lang w:val="en-GB"/>
        </w:rPr>
        <w:t xml:space="preserve"> membuat banyak produk menjadi langka dan harga semakin tinggi. </w:t>
      </w:r>
      <w:r>
        <w:rPr>
          <w:bCs/>
          <w:color w:val="000000"/>
          <w:lang w:val="en-GB"/>
        </w:rPr>
        <w:t>Namun demikian t</w:t>
      </w:r>
      <w:r w:rsidRPr="00597E24">
        <w:rPr>
          <w:bCs/>
          <w:color w:val="000000"/>
          <w:lang w:val="en-GB"/>
        </w:rPr>
        <w:t xml:space="preserve">idak </w:t>
      </w:r>
      <w:r>
        <w:rPr>
          <w:bCs/>
          <w:color w:val="000000"/>
          <w:lang w:val="en-GB"/>
        </w:rPr>
        <w:t xml:space="preserve">hanya berhenti </w:t>
      </w:r>
      <w:r w:rsidRPr="00597E24">
        <w:rPr>
          <w:bCs/>
          <w:color w:val="000000"/>
          <w:lang w:val="en-GB"/>
        </w:rPr>
        <w:t xml:space="preserve">pada pasar konvensional namun juga pasar modal. Jika di pasar barang </w:t>
      </w:r>
      <w:r>
        <w:rPr>
          <w:bCs/>
          <w:color w:val="000000"/>
          <w:lang w:val="en-GB"/>
        </w:rPr>
        <w:t xml:space="preserve">mereka melakukan </w:t>
      </w:r>
      <w:r w:rsidRPr="00597E24">
        <w:rPr>
          <w:bCs/>
          <w:i/>
          <w:color w:val="000000"/>
          <w:lang w:val="en-GB"/>
        </w:rPr>
        <w:t>panic buying</w:t>
      </w:r>
      <w:r>
        <w:rPr>
          <w:bCs/>
          <w:color w:val="000000"/>
          <w:lang w:val="en-GB"/>
        </w:rPr>
        <w:t xml:space="preserve"> maka di pasar modal pengambilan keputusannya melakukan</w:t>
      </w:r>
      <w:r w:rsidRPr="00597E24">
        <w:rPr>
          <w:bCs/>
          <w:color w:val="000000"/>
          <w:lang w:val="en-GB"/>
        </w:rPr>
        <w:t xml:space="preserve"> </w:t>
      </w:r>
      <w:r w:rsidRPr="00597E24">
        <w:rPr>
          <w:bCs/>
          <w:i/>
          <w:color w:val="000000"/>
          <w:lang w:val="en-GB"/>
        </w:rPr>
        <w:t>panic selling</w:t>
      </w:r>
      <w:r w:rsidRPr="00597E24">
        <w:rPr>
          <w:bCs/>
          <w:color w:val="000000"/>
          <w:lang w:val="en-GB"/>
        </w:rPr>
        <w:t>.</w:t>
      </w:r>
      <w:r w:rsidR="00D64D06">
        <w:rPr>
          <w:bCs/>
          <w:color w:val="000000"/>
          <w:lang w:val="en-GB"/>
        </w:rPr>
        <w:t xml:space="preserve"> </w:t>
      </w:r>
    </w:p>
    <w:p w:rsidR="00D64D06" w:rsidRDefault="00D64D06" w:rsidP="00443531">
      <w:pPr>
        <w:spacing w:line="480" w:lineRule="auto"/>
        <w:ind w:firstLine="720"/>
        <w:contextualSpacing/>
        <w:jc w:val="both"/>
        <w:rPr>
          <w:bCs/>
          <w:color w:val="000000"/>
          <w:lang w:val="en-GB"/>
        </w:rPr>
      </w:pPr>
      <w:r>
        <w:rPr>
          <w:bCs/>
          <w:color w:val="000000"/>
          <w:lang w:val="en-GB"/>
        </w:rPr>
        <w:t xml:space="preserve">Keputusan melakukan </w:t>
      </w:r>
      <w:r>
        <w:rPr>
          <w:bCs/>
          <w:i/>
          <w:color w:val="000000"/>
          <w:lang w:val="en-GB"/>
        </w:rPr>
        <w:t>p</w:t>
      </w:r>
      <w:r w:rsidRPr="00D64D06">
        <w:rPr>
          <w:bCs/>
          <w:i/>
          <w:color w:val="000000"/>
          <w:lang w:val="en-GB"/>
        </w:rPr>
        <w:t>anic selling</w:t>
      </w:r>
      <w:r>
        <w:rPr>
          <w:bCs/>
          <w:color w:val="000000"/>
          <w:lang w:val="en-GB"/>
        </w:rPr>
        <w:t xml:space="preserve"> merupakan reaksi </w:t>
      </w:r>
      <w:r w:rsidRPr="00D64D06">
        <w:rPr>
          <w:bCs/>
          <w:color w:val="000000"/>
          <w:lang w:val="en-GB"/>
        </w:rPr>
        <w:t>muncul</w:t>
      </w:r>
      <w:r>
        <w:rPr>
          <w:bCs/>
          <w:color w:val="000000"/>
          <w:lang w:val="en-GB"/>
        </w:rPr>
        <w:t>nya</w:t>
      </w:r>
      <w:r w:rsidRPr="00D64D06">
        <w:rPr>
          <w:bCs/>
          <w:color w:val="000000"/>
          <w:lang w:val="en-GB"/>
        </w:rPr>
        <w:t xml:space="preserve"> </w:t>
      </w:r>
      <w:r>
        <w:rPr>
          <w:bCs/>
          <w:color w:val="000000"/>
          <w:lang w:val="en-GB"/>
        </w:rPr>
        <w:t>ketakutan</w:t>
      </w:r>
      <w:r w:rsidRPr="00D64D06">
        <w:rPr>
          <w:bCs/>
          <w:color w:val="000000"/>
          <w:lang w:val="en-GB"/>
        </w:rPr>
        <w:t xml:space="preserve"> berlebihan </w:t>
      </w:r>
      <w:r>
        <w:rPr>
          <w:bCs/>
          <w:color w:val="000000"/>
          <w:lang w:val="en-GB"/>
        </w:rPr>
        <w:t xml:space="preserve">sehingga </w:t>
      </w:r>
      <w:r w:rsidRPr="00D64D06">
        <w:rPr>
          <w:bCs/>
          <w:color w:val="000000"/>
          <w:lang w:val="en-GB"/>
        </w:rPr>
        <w:t>membuat para pemilik saham menjual sahamnya tanpa menggunakan pertimbangan fundamental maupun teknikal</w:t>
      </w:r>
      <w:r>
        <w:rPr>
          <w:bCs/>
          <w:color w:val="000000"/>
          <w:lang w:val="en-GB"/>
        </w:rPr>
        <w:t xml:space="preserve">. Akibatnya </w:t>
      </w:r>
      <w:r w:rsidRPr="00D64D06">
        <w:rPr>
          <w:bCs/>
          <w:color w:val="000000"/>
          <w:lang w:val="en-GB"/>
        </w:rPr>
        <w:t>h</w:t>
      </w:r>
      <w:r>
        <w:rPr>
          <w:bCs/>
          <w:color w:val="000000"/>
          <w:lang w:val="en-GB"/>
        </w:rPr>
        <w:t>arga saham yang dimiliki jatuh dan dapat diiidentifikasikan</w:t>
      </w:r>
      <w:r w:rsidRPr="00D64D06">
        <w:rPr>
          <w:bCs/>
          <w:color w:val="000000"/>
          <w:lang w:val="en-GB"/>
        </w:rPr>
        <w:t xml:space="preserve"> </w:t>
      </w:r>
      <w:r>
        <w:rPr>
          <w:bCs/>
          <w:color w:val="000000"/>
          <w:lang w:val="en-GB"/>
        </w:rPr>
        <w:t xml:space="preserve">akhirnya </w:t>
      </w:r>
      <w:r w:rsidRPr="00D64D06">
        <w:rPr>
          <w:bCs/>
          <w:color w:val="000000"/>
          <w:lang w:val="en-GB"/>
        </w:rPr>
        <w:t>membuat nilai saham gabungan anjlok.</w:t>
      </w:r>
    </w:p>
    <w:p w:rsidR="00D63646" w:rsidRDefault="00C31F63" w:rsidP="00443531">
      <w:pPr>
        <w:spacing w:line="480" w:lineRule="auto"/>
        <w:ind w:firstLine="720"/>
        <w:contextualSpacing/>
        <w:jc w:val="both"/>
        <w:rPr>
          <w:bCs/>
          <w:color w:val="000000"/>
          <w:lang w:val="en-GB"/>
        </w:rPr>
      </w:pPr>
      <w:r>
        <w:rPr>
          <w:bCs/>
          <w:color w:val="000000"/>
          <w:lang w:val="en-GB"/>
        </w:rPr>
        <w:t>Oleh karena itu dapat kita b</w:t>
      </w:r>
      <w:r w:rsidRPr="00C31F63">
        <w:rPr>
          <w:bCs/>
          <w:color w:val="000000"/>
          <w:lang w:val="en-GB"/>
        </w:rPr>
        <w:t xml:space="preserve">ayangkan jika fenomena </w:t>
      </w:r>
      <w:r w:rsidRPr="00C31F63">
        <w:rPr>
          <w:bCs/>
          <w:i/>
          <w:color w:val="000000"/>
          <w:lang w:val="en-GB"/>
        </w:rPr>
        <w:t>panic selling</w:t>
      </w:r>
      <w:r w:rsidRPr="00C31F63">
        <w:rPr>
          <w:bCs/>
          <w:color w:val="000000"/>
          <w:lang w:val="en-GB"/>
        </w:rPr>
        <w:t xml:space="preserve"> dan </w:t>
      </w:r>
      <w:r w:rsidRPr="00C31F63">
        <w:rPr>
          <w:bCs/>
          <w:i/>
          <w:color w:val="000000"/>
          <w:lang w:val="en-GB"/>
        </w:rPr>
        <w:t>panic buying</w:t>
      </w:r>
      <w:r w:rsidRPr="00C31F63">
        <w:rPr>
          <w:bCs/>
          <w:color w:val="000000"/>
          <w:lang w:val="en-GB"/>
        </w:rPr>
        <w:t xml:space="preserve"> terjadi berbarengan maka </w:t>
      </w:r>
      <w:r>
        <w:rPr>
          <w:bCs/>
          <w:color w:val="000000"/>
          <w:lang w:val="en-GB"/>
        </w:rPr>
        <w:t>dapat menjadikan</w:t>
      </w:r>
      <w:r w:rsidRPr="00C31F63">
        <w:rPr>
          <w:bCs/>
          <w:color w:val="000000"/>
          <w:lang w:val="en-GB"/>
        </w:rPr>
        <w:t xml:space="preserve"> kehancuran perekonomian </w:t>
      </w:r>
      <w:r>
        <w:rPr>
          <w:bCs/>
          <w:color w:val="000000"/>
          <w:lang w:val="en-GB"/>
        </w:rPr>
        <w:t>dunia secara tak terkirakan, i</w:t>
      </w:r>
      <w:r w:rsidRPr="00C31F63">
        <w:rPr>
          <w:bCs/>
          <w:color w:val="000000"/>
          <w:lang w:val="en-GB"/>
        </w:rPr>
        <w:t>mbasnya tentu s</w:t>
      </w:r>
      <w:r>
        <w:rPr>
          <w:bCs/>
          <w:color w:val="000000"/>
          <w:lang w:val="en-GB"/>
        </w:rPr>
        <w:t>aja</w:t>
      </w:r>
      <w:r w:rsidRPr="00C31F63">
        <w:rPr>
          <w:bCs/>
          <w:color w:val="000000"/>
          <w:lang w:val="en-GB"/>
        </w:rPr>
        <w:t xml:space="preserve"> </w:t>
      </w:r>
      <w:r>
        <w:rPr>
          <w:bCs/>
          <w:color w:val="000000"/>
          <w:lang w:val="en-GB"/>
        </w:rPr>
        <w:t xml:space="preserve">menghancurkan juga perekonomian secara </w:t>
      </w:r>
      <w:r w:rsidR="008C28D1">
        <w:rPr>
          <w:bCs/>
          <w:color w:val="000000"/>
          <w:lang w:val="en-GB"/>
        </w:rPr>
        <w:t>domestik</w:t>
      </w:r>
      <w:r>
        <w:rPr>
          <w:bCs/>
          <w:color w:val="000000"/>
          <w:lang w:val="en-GB"/>
        </w:rPr>
        <w:t xml:space="preserve"> bagi setiap Negara terbuka</w:t>
      </w:r>
      <w:r w:rsidRPr="00C31F63">
        <w:rPr>
          <w:bCs/>
          <w:color w:val="000000"/>
          <w:lang w:val="en-GB"/>
        </w:rPr>
        <w:t>.</w:t>
      </w:r>
      <w:r w:rsidR="008C28D1">
        <w:rPr>
          <w:bCs/>
          <w:color w:val="000000"/>
          <w:lang w:val="en-GB"/>
        </w:rPr>
        <w:t xml:space="preserve"> Kondisi terebut </w:t>
      </w:r>
      <w:r w:rsidR="008C28D1" w:rsidRPr="008C28D1">
        <w:rPr>
          <w:bCs/>
          <w:color w:val="000000"/>
          <w:lang w:val="en-GB"/>
        </w:rPr>
        <w:t xml:space="preserve">akan </w:t>
      </w:r>
      <w:r w:rsidR="008C28D1">
        <w:rPr>
          <w:bCs/>
          <w:color w:val="000000"/>
          <w:lang w:val="en-GB"/>
        </w:rPr>
        <w:t>menyebabkan</w:t>
      </w:r>
      <w:r w:rsidR="008C28D1" w:rsidRPr="008C28D1">
        <w:rPr>
          <w:bCs/>
          <w:color w:val="000000"/>
          <w:lang w:val="en-GB"/>
        </w:rPr>
        <w:t xml:space="preserve"> banyak orang kehilangan pekerjaan, kehilangan dana pensiun, kehilangan rumah yang mungkin akan menyebabkan kekacauan yang belum pernah terjadi sebelumnya akan terjadi.</w:t>
      </w:r>
      <w:r w:rsidR="00D63646">
        <w:rPr>
          <w:bCs/>
          <w:color w:val="000000"/>
          <w:lang w:val="en-GB"/>
        </w:rPr>
        <w:t xml:space="preserve"> </w:t>
      </w:r>
    </w:p>
    <w:p w:rsidR="003446C8" w:rsidRDefault="00D63646" w:rsidP="00443531">
      <w:pPr>
        <w:spacing w:line="480" w:lineRule="auto"/>
        <w:ind w:firstLine="720"/>
        <w:contextualSpacing/>
        <w:jc w:val="both"/>
        <w:rPr>
          <w:bCs/>
          <w:color w:val="000000"/>
          <w:lang w:val="en-GB"/>
        </w:rPr>
      </w:pPr>
      <w:r>
        <w:rPr>
          <w:bCs/>
          <w:color w:val="000000"/>
          <w:lang w:val="en-GB"/>
        </w:rPr>
        <w:t xml:space="preserve">Inilah kepanikan irasional yang akhirnya menjadi kenyataan. </w:t>
      </w:r>
      <w:r w:rsidR="003446C8" w:rsidRPr="003446C8">
        <w:rPr>
          <w:bCs/>
          <w:color w:val="000000"/>
          <w:lang w:val="en-GB"/>
        </w:rPr>
        <w:t xml:space="preserve">"Kehilangan </w:t>
      </w:r>
      <w:r w:rsidR="001877DA">
        <w:rPr>
          <w:bCs/>
          <w:color w:val="000000"/>
          <w:lang w:val="en-GB"/>
        </w:rPr>
        <w:t>US</w:t>
      </w:r>
      <w:r w:rsidR="003446C8" w:rsidRPr="003446C8">
        <w:rPr>
          <w:bCs/>
          <w:color w:val="000000"/>
          <w:lang w:val="en-GB"/>
        </w:rPr>
        <w:t>$100 terasa lebih buruk daripad</w:t>
      </w:r>
      <w:r w:rsidR="003446C8">
        <w:rPr>
          <w:bCs/>
          <w:color w:val="000000"/>
          <w:lang w:val="en-GB"/>
        </w:rPr>
        <w:t xml:space="preserve">a memenangkan US$100, </w:t>
      </w:r>
      <w:r w:rsidR="003446C8" w:rsidRPr="003446C8">
        <w:rPr>
          <w:bCs/>
          <w:color w:val="000000"/>
          <w:lang w:val="en-GB"/>
        </w:rPr>
        <w:t>Jika kemudian kita menyadari bahwa kita butuh tisu toilet dan kita tidak mengambilnya ketika ada kesempatan, kita akan merasa tidak enak.</w:t>
      </w:r>
      <w:r w:rsidR="001877DA">
        <w:rPr>
          <w:bCs/>
          <w:color w:val="000000"/>
          <w:lang w:val="en-GB"/>
        </w:rPr>
        <w:t xml:space="preserve"> </w:t>
      </w:r>
      <w:r w:rsidR="003446C8" w:rsidRPr="003446C8">
        <w:rPr>
          <w:bCs/>
          <w:color w:val="000000"/>
          <w:lang w:val="en-GB"/>
        </w:rPr>
        <w:lastRenderedPageBreak/>
        <w:t>"</w:t>
      </w:r>
      <w:r w:rsidRPr="00D63646">
        <w:rPr>
          <w:bCs/>
          <w:color w:val="000000"/>
          <w:lang w:val="en-GB"/>
        </w:rPr>
        <w:t>Mempersiapkan diri untuk sesuatu yang buruk merupakan tindakan rasional,</w:t>
      </w:r>
      <w:r>
        <w:rPr>
          <w:bCs/>
          <w:color w:val="000000"/>
          <w:lang w:val="en-GB"/>
        </w:rPr>
        <w:t xml:space="preserve"> n</w:t>
      </w:r>
      <w:r w:rsidRPr="00D63646">
        <w:rPr>
          <w:bCs/>
          <w:color w:val="000000"/>
          <w:lang w:val="en-GB"/>
        </w:rPr>
        <w:t>amun: "Menjadi tidak rasional jika membeli 500 kaleng kacang panggang untuk sesuatu yang kemungkinan hanya merupakan isolasi selama dua minggu." kata David Savage, profesor bidang perilaku dan mikro ekonomi di University of Newcastle, Australia, yang menulis tentang rasionalitas di balik penimbunan di tengah krisis.</w:t>
      </w:r>
      <w:r>
        <w:rPr>
          <w:bCs/>
          <w:color w:val="000000"/>
          <w:lang w:val="en-GB"/>
        </w:rPr>
        <w:t xml:space="preserve"> </w:t>
      </w:r>
    </w:p>
    <w:p w:rsidR="00607781" w:rsidRDefault="003446C8" w:rsidP="009E423A">
      <w:pPr>
        <w:spacing w:line="480" w:lineRule="auto"/>
        <w:ind w:firstLine="720"/>
        <w:contextualSpacing/>
        <w:jc w:val="both"/>
        <w:rPr>
          <w:bCs/>
          <w:color w:val="000000"/>
          <w:lang w:val="en-GB"/>
        </w:rPr>
      </w:pPr>
      <w:r w:rsidRPr="003446C8">
        <w:rPr>
          <w:bCs/>
          <w:i/>
          <w:color w:val="000000"/>
          <w:lang w:val="en-GB"/>
        </w:rPr>
        <w:t>Panic buying</w:t>
      </w:r>
      <w:r w:rsidRPr="003446C8">
        <w:rPr>
          <w:bCs/>
          <w:color w:val="000000"/>
          <w:lang w:val="en-GB"/>
        </w:rPr>
        <w:t xml:space="preserve"> mendapatkan tempat yang lebih di media sosial dan berita-berita, dan hal itu meningkatkan khawatir kehabisan, yang memperburuk panic buying," kata Taylor. "Ada efek bola salju yang meningkatkan rasa urgensi.</w:t>
      </w:r>
      <w:r w:rsidR="001877DA">
        <w:rPr>
          <w:bCs/>
          <w:color w:val="000000"/>
          <w:lang w:val="en-GB"/>
        </w:rPr>
        <w:t xml:space="preserve"> </w:t>
      </w:r>
      <w:r w:rsidRPr="003446C8">
        <w:rPr>
          <w:bCs/>
          <w:color w:val="000000"/>
          <w:lang w:val="en-GB"/>
        </w:rPr>
        <w:t>"</w:t>
      </w:r>
      <w:r w:rsidR="00D63646" w:rsidRPr="00D63646">
        <w:rPr>
          <w:bCs/>
          <w:color w:val="000000"/>
          <w:lang w:val="en-GB"/>
        </w:rPr>
        <w:t>Penimbunan yang tidak rasional dapat juga menyebabkan peningkatan harga, kata Steven Taylor, dosen dan psikolog klinis di University of British Columbia, dan penulis buku The Psychology of Pandemics.</w:t>
      </w:r>
      <w:r w:rsidR="00D63646">
        <w:rPr>
          <w:bCs/>
          <w:color w:val="000000"/>
          <w:lang w:val="en-GB"/>
        </w:rPr>
        <w:t xml:space="preserve"> </w:t>
      </w:r>
      <w:r w:rsidR="00D63646" w:rsidRPr="00D63646">
        <w:rPr>
          <w:bCs/>
          <w:color w:val="000000"/>
          <w:lang w:val="en-GB"/>
        </w:rPr>
        <w:t xml:space="preserve">Menurut Taylor, </w:t>
      </w:r>
      <w:r w:rsidR="00D63646" w:rsidRPr="001877DA">
        <w:rPr>
          <w:bCs/>
          <w:i/>
          <w:color w:val="000000"/>
          <w:lang w:val="en-GB"/>
        </w:rPr>
        <w:t>panic buying</w:t>
      </w:r>
      <w:r w:rsidR="00D63646" w:rsidRPr="00D63646">
        <w:rPr>
          <w:bCs/>
          <w:color w:val="000000"/>
          <w:lang w:val="en-GB"/>
        </w:rPr>
        <w:t xml:space="preserve"> didorong oleh ketakutan, dan keinginan untuk berusaha keras memadamkan ketakutan itu: seperti antrian berjam-jam atau membeli jauh lebih banyak dari yang Anda butuhkan.</w:t>
      </w:r>
      <w:r w:rsidR="00D63646">
        <w:rPr>
          <w:bCs/>
          <w:color w:val="000000"/>
          <w:lang w:val="en-GB"/>
        </w:rPr>
        <w:t xml:space="preserve"> (BBC Worklife: </w:t>
      </w:r>
      <w:hyperlink r:id="rId8" w:history="1">
        <w:r w:rsidR="00D63646" w:rsidRPr="00D11777">
          <w:rPr>
            <w:rStyle w:val="Hyperlink"/>
          </w:rPr>
          <w:t>The psychology of panic buying</w:t>
        </w:r>
      </w:hyperlink>
      <w:r w:rsidR="00D63646">
        <w:rPr>
          <w:b/>
          <w:bCs/>
        </w:rPr>
        <w:t xml:space="preserve">, </w:t>
      </w:r>
      <w:r w:rsidR="00D63646" w:rsidRPr="00D63646">
        <w:rPr>
          <w:bCs/>
        </w:rPr>
        <w:t xml:space="preserve">16 </w:t>
      </w:r>
      <w:r w:rsidR="00413241">
        <w:rPr>
          <w:bCs/>
        </w:rPr>
        <w:t>April</w:t>
      </w:r>
      <w:r w:rsidR="00D63646" w:rsidRPr="00D63646">
        <w:rPr>
          <w:bCs/>
        </w:rPr>
        <w:t xml:space="preserve"> 2020)</w:t>
      </w:r>
      <w:r w:rsidR="00D63646">
        <w:rPr>
          <w:bCs/>
        </w:rPr>
        <w:t>.</w:t>
      </w:r>
    </w:p>
    <w:p w:rsidR="009E423A" w:rsidRPr="009E423A" w:rsidRDefault="009E423A" w:rsidP="009E423A">
      <w:pPr>
        <w:spacing w:line="480" w:lineRule="auto"/>
        <w:ind w:firstLine="720"/>
        <w:contextualSpacing/>
        <w:jc w:val="both"/>
        <w:rPr>
          <w:bCs/>
          <w:color w:val="000000"/>
          <w:lang w:val="en-GB"/>
        </w:rPr>
      </w:pPr>
    </w:p>
    <w:p w:rsidR="00002434" w:rsidRPr="004B7BCA" w:rsidRDefault="00502088" w:rsidP="004B7BCA">
      <w:pPr>
        <w:spacing w:line="480" w:lineRule="auto"/>
        <w:contextualSpacing/>
        <w:rPr>
          <w:b/>
          <w:lang w:val="en-GB"/>
        </w:rPr>
      </w:pPr>
      <w:r>
        <w:rPr>
          <w:b/>
          <w:lang w:val="en-GB"/>
        </w:rPr>
        <w:t>2.4</w:t>
      </w:r>
      <w:r w:rsidR="00443531">
        <w:rPr>
          <w:b/>
          <w:lang w:val="en-GB"/>
        </w:rPr>
        <w:t>. Jenis-jenis Investor</w:t>
      </w:r>
    </w:p>
    <w:p w:rsidR="00443531" w:rsidRPr="005108FF" w:rsidRDefault="00443531" w:rsidP="00443531">
      <w:pPr>
        <w:spacing w:line="480" w:lineRule="auto"/>
        <w:ind w:firstLine="720"/>
        <w:contextualSpacing/>
        <w:jc w:val="both"/>
        <w:rPr>
          <w:bCs/>
          <w:color w:val="000000"/>
          <w:lang w:val="en-GB"/>
        </w:rPr>
      </w:pPr>
      <w:r w:rsidRPr="009D7E67">
        <w:rPr>
          <w:bCs/>
          <w:color w:val="000000"/>
          <w:lang w:val="id-ID"/>
        </w:rPr>
        <w:t>Menurut Bailard,</w:t>
      </w:r>
      <w:r>
        <w:rPr>
          <w:bCs/>
          <w:color w:val="000000"/>
          <w:lang w:val="en-GB"/>
        </w:rPr>
        <w:t xml:space="preserve"> </w:t>
      </w:r>
      <w:r w:rsidRPr="009D7E67">
        <w:rPr>
          <w:bCs/>
          <w:color w:val="000000"/>
          <w:lang w:val="id-ID"/>
        </w:rPr>
        <w:t>Biehl &amp; Kaiser (sebuah lemb</w:t>
      </w:r>
      <w:r>
        <w:rPr>
          <w:bCs/>
          <w:color w:val="000000"/>
          <w:lang w:val="id-ID"/>
        </w:rPr>
        <w:t>aga investasi di California AS)</w:t>
      </w:r>
      <w:r w:rsidRPr="009D7E67">
        <w:rPr>
          <w:bCs/>
          <w:color w:val="000000"/>
          <w:lang w:val="id-ID"/>
        </w:rPr>
        <w:t xml:space="preserve"> terdapat lima jenis investor di pasar modal.</w:t>
      </w:r>
      <w:r>
        <w:rPr>
          <w:bCs/>
          <w:color w:val="000000"/>
          <w:lang w:val="en-GB"/>
        </w:rPr>
        <w:t xml:space="preserve"> (Hardjito; 2009 hal 159)</w:t>
      </w:r>
    </w:p>
    <w:p w:rsidR="00443531" w:rsidRPr="009D7E67" w:rsidRDefault="00443531" w:rsidP="00443531">
      <w:pPr>
        <w:pStyle w:val="ListParagraph"/>
        <w:numPr>
          <w:ilvl w:val="0"/>
          <w:numId w:val="4"/>
        </w:numPr>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Kelompok petualang (</w:t>
      </w:r>
      <w:r w:rsidRPr="009D7E67">
        <w:rPr>
          <w:rFonts w:ascii="Times New Roman" w:hAnsi="Times New Roman" w:cs="Times New Roman"/>
          <w:bCs/>
          <w:i/>
          <w:color w:val="000000"/>
          <w:sz w:val="24"/>
          <w:szCs w:val="24"/>
          <w:lang w:val="id-ID"/>
        </w:rPr>
        <w:t>adventurers</w:t>
      </w:r>
      <w:r w:rsidRPr="009D7E67">
        <w:rPr>
          <w:rFonts w:ascii="Times New Roman" w:hAnsi="Times New Roman" w:cs="Times New Roman"/>
          <w:bCs/>
          <w:color w:val="000000"/>
          <w:sz w:val="24"/>
          <w:szCs w:val="24"/>
          <w:lang w:val="id-ID"/>
        </w:rPr>
        <w:t xml:space="preserve">). </w:t>
      </w:r>
    </w:p>
    <w:p w:rsidR="00607781" w:rsidRPr="00002434" w:rsidRDefault="00443531" w:rsidP="00002434">
      <w:pPr>
        <w:pStyle w:val="ListParagraph"/>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Investor pada kelompok ini umumnya tidak mempedulikan nasehat para financial advisors kare</w:t>
      </w:r>
      <w:r w:rsidR="00607781">
        <w:rPr>
          <w:rFonts w:ascii="Times New Roman" w:hAnsi="Times New Roman" w:cs="Times New Roman"/>
          <w:bCs/>
          <w:color w:val="000000"/>
          <w:sz w:val="24"/>
          <w:szCs w:val="24"/>
          <w:lang w:val="id-ID"/>
        </w:rPr>
        <w:t>na berbeda pandangan terhadap r</w:t>
      </w:r>
      <w:r w:rsidR="00607781">
        <w:rPr>
          <w:rFonts w:ascii="Times New Roman" w:hAnsi="Times New Roman" w:cs="Times New Roman"/>
          <w:bCs/>
          <w:color w:val="000000"/>
          <w:sz w:val="24"/>
          <w:szCs w:val="24"/>
        </w:rPr>
        <w:t>i</w:t>
      </w:r>
      <w:r w:rsidRPr="009D7E67">
        <w:rPr>
          <w:rFonts w:ascii="Times New Roman" w:hAnsi="Times New Roman" w:cs="Times New Roman"/>
          <w:bCs/>
          <w:color w:val="000000"/>
          <w:sz w:val="24"/>
          <w:szCs w:val="24"/>
          <w:lang w:val="id-ID"/>
        </w:rPr>
        <w:t xml:space="preserve">siko. </w:t>
      </w:r>
    </w:p>
    <w:p w:rsidR="00443531" w:rsidRPr="009D7E67" w:rsidRDefault="00443531" w:rsidP="00443531">
      <w:pPr>
        <w:pStyle w:val="ListParagraph"/>
        <w:numPr>
          <w:ilvl w:val="0"/>
          <w:numId w:val="4"/>
        </w:numPr>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 xml:space="preserve">Kelompok </w:t>
      </w:r>
      <w:r w:rsidRPr="009D7E67">
        <w:rPr>
          <w:rFonts w:ascii="Times New Roman" w:hAnsi="Times New Roman" w:cs="Times New Roman"/>
          <w:bCs/>
          <w:i/>
          <w:color w:val="000000"/>
          <w:sz w:val="24"/>
          <w:szCs w:val="24"/>
          <w:lang w:val="id-ID"/>
        </w:rPr>
        <w:t>celebrities</w:t>
      </w:r>
      <w:r w:rsidRPr="009D7E67">
        <w:rPr>
          <w:rFonts w:ascii="Times New Roman" w:hAnsi="Times New Roman" w:cs="Times New Roman"/>
          <w:bCs/>
          <w:color w:val="000000"/>
          <w:sz w:val="24"/>
          <w:szCs w:val="24"/>
          <w:lang w:val="id-ID"/>
        </w:rPr>
        <w:t xml:space="preserve"> </w:t>
      </w:r>
    </w:p>
    <w:p w:rsidR="00443531" w:rsidRPr="009D7E67" w:rsidRDefault="00443531" w:rsidP="00443531">
      <w:pPr>
        <w:pStyle w:val="ListParagraph"/>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 xml:space="preserve">Investor pada kelompok ini terdiri dari orang orang yang selalu ingin tampil, menonjol dan menjadi pusat perhatian. Mereka seringkali tidak terlalu memperdulikan pada perhitungan </w:t>
      </w:r>
      <w:r w:rsidRPr="009D7E67">
        <w:rPr>
          <w:rFonts w:ascii="Times New Roman" w:hAnsi="Times New Roman" w:cs="Times New Roman"/>
          <w:bCs/>
          <w:color w:val="000000"/>
          <w:sz w:val="24"/>
          <w:szCs w:val="24"/>
          <w:lang w:val="id-ID"/>
        </w:rPr>
        <w:lastRenderedPageBreak/>
        <w:t xml:space="preserve">untung rugi investasi. Bagi kelompok ini yang terpenting keputusan mereka untuk membeli atau menjual surat berharga dilihat dan didengar oleh orang banyak. </w:t>
      </w:r>
    </w:p>
    <w:p w:rsidR="00443531" w:rsidRPr="009D7E67" w:rsidRDefault="00443531" w:rsidP="00443531">
      <w:pPr>
        <w:pStyle w:val="ListParagraph"/>
        <w:numPr>
          <w:ilvl w:val="0"/>
          <w:numId w:val="4"/>
        </w:numPr>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 xml:space="preserve">Kelompok </w:t>
      </w:r>
      <w:r w:rsidRPr="009D7E67">
        <w:rPr>
          <w:rFonts w:ascii="Times New Roman" w:hAnsi="Times New Roman" w:cs="Times New Roman"/>
          <w:bCs/>
          <w:i/>
          <w:color w:val="000000"/>
          <w:sz w:val="24"/>
          <w:szCs w:val="24"/>
          <w:lang w:val="id-ID"/>
        </w:rPr>
        <w:t>individualistis</w:t>
      </w:r>
    </w:p>
    <w:p w:rsidR="00443531" w:rsidRPr="006233B9" w:rsidRDefault="00443531" w:rsidP="00443531">
      <w:pPr>
        <w:pStyle w:val="ListParagraph"/>
        <w:spacing w:line="480" w:lineRule="auto"/>
        <w:jc w:val="both"/>
        <w:rPr>
          <w:rFonts w:ascii="Times New Roman" w:hAnsi="Times New Roman" w:cs="Times New Roman"/>
          <w:bCs/>
          <w:color w:val="000000"/>
          <w:sz w:val="24"/>
          <w:szCs w:val="24"/>
          <w:lang w:val="en-GB"/>
        </w:rPr>
      </w:pPr>
      <w:r w:rsidRPr="009D7E67">
        <w:rPr>
          <w:rFonts w:ascii="Times New Roman" w:hAnsi="Times New Roman" w:cs="Times New Roman"/>
          <w:bCs/>
          <w:color w:val="000000"/>
          <w:sz w:val="24"/>
          <w:szCs w:val="24"/>
          <w:lang w:val="id-ID"/>
        </w:rPr>
        <w:t>Kelompok ini cenderung bekerja sendiri dan tidak mempedulikan keputusan investasi orang lain.</w:t>
      </w:r>
      <w:r>
        <w:rPr>
          <w:rFonts w:ascii="Times New Roman" w:hAnsi="Times New Roman" w:cs="Times New Roman"/>
          <w:bCs/>
          <w:color w:val="000000"/>
          <w:sz w:val="24"/>
          <w:szCs w:val="24"/>
          <w:lang w:val="en-GB"/>
        </w:rPr>
        <w:t xml:space="preserve"> </w:t>
      </w:r>
      <w:r w:rsidRPr="009D7E67">
        <w:rPr>
          <w:rFonts w:ascii="Times New Roman" w:hAnsi="Times New Roman" w:cs="Times New Roman"/>
          <w:bCs/>
          <w:color w:val="000000"/>
          <w:sz w:val="24"/>
          <w:szCs w:val="24"/>
          <w:lang w:val="id-ID"/>
        </w:rPr>
        <w:t>Investors indi</w:t>
      </w:r>
      <w:r w:rsidR="00607781">
        <w:rPr>
          <w:rFonts w:ascii="Times New Roman" w:hAnsi="Times New Roman" w:cs="Times New Roman"/>
          <w:bCs/>
          <w:color w:val="000000"/>
          <w:sz w:val="24"/>
          <w:szCs w:val="24"/>
          <w:lang w:val="id-ID"/>
        </w:rPr>
        <w:t>viduals cenderung menghindari ri</w:t>
      </w:r>
      <w:r w:rsidRPr="009D7E67">
        <w:rPr>
          <w:rFonts w:ascii="Times New Roman" w:hAnsi="Times New Roman" w:cs="Times New Roman"/>
          <w:bCs/>
          <w:color w:val="000000"/>
          <w:sz w:val="24"/>
          <w:szCs w:val="24"/>
          <w:lang w:val="id-ID"/>
        </w:rPr>
        <w:t xml:space="preserve">siko tinggi dan tidak keberatan dengan </w:t>
      </w:r>
      <w:r w:rsidR="00607781">
        <w:rPr>
          <w:rFonts w:ascii="Times New Roman" w:hAnsi="Times New Roman" w:cs="Times New Roman"/>
          <w:bCs/>
          <w:color w:val="000000"/>
          <w:sz w:val="24"/>
          <w:szCs w:val="24"/>
          <w:lang w:val="id-ID"/>
        </w:rPr>
        <w:t>risiko</w:t>
      </w:r>
      <w:r w:rsidRPr="009D7E67">
        <w:rPr>
          <w:rFonts w:ascii="Times New Roman" w:hAnsi="Times New Roman" w:cs="Times New Roman"/>
          <w:bCs/>
          <w:color w:val="000000"/>
          <w:sz w:val="24"/>
          <w:szCs w:val="24"/>
          <w:lang w:val="id-ID"/>
        </w:rPr>
        <w:t xml:space="preserve"> moderat serta lebih bersikap rasional.</w:t>
      </w:r>
    </w:p>
    <w:p w:rsidR="00443531" w:rsidRPr="009D7E67" w:rsidRDefault="00443531" w:rsidP="00443531">
      <w:pPr>
        <w:pStyle w:val="ListParagraph"/>
        <w:numPr>
          <w:ilvl w:val="0"/>
          <w:numId w:val="4"/>
        </w:numPr>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 xml:space="preserve">Kelompok </w:t>
      </w:r>
      <w:r w:rsidRPr="009D7E67">
        <w:rPr>
          <w:rFonts w:ascii="Times New Roman" w:hAnsi="Times New Roman" w:cs="Times New Roman"/>
          <w:bCs/>
          <w:i/>
          <w:color w:val="000000"/>
          <w:sz w:val="24"/>
          <w:szCs w:val="24"/>
          <w:lang w:val="id-ID"/>
        </w:rPr>
        <w:t>guardians</w:t>
      </w:r>
    </w:p>
    <w:p w:rsidR="00443531" w:rsidRPr="009D7E67" w:rsidRDefault="00443531" w:rsidP="00443531">
      <w:pPr>
        <w:pStyle w:val="ListParagraph"/>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Kelompok ini merupakan investor yang lebih matang, lebih berpengalaman serta berpengetahuan luas. Kelompok guardians cenderung berhati hati dalam mengambil keputusan investasi dan lebih bersifat risk averse.</w:t>
      </w:r>
    </w:p>
    <w:p w:rsidR="00443531" w:rsidRPr="009D7E67" w:rsidRDefault="00443531" w:rsidP="00443531">
      <w:pPr>
        <w:pStyle w:val="ListParagraph"/>
        <w:numPr>
          <w:ilvl w:val="0"/>
          <w:numId w:val="4"/>
        </w:numPr>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 xml:space="preserve">Kelompok </w:t>
      </w:r>
      <w:r w:rsidRPr="009D7E67">
        <w:rPr>
          <w:rFonts w:ascii="Times New Roman" w:hAnsi="Times New Roman" w:cs="Times New Roman"/>
          <w:bCs/>
          <w:i/>
          <w:color w:val="000000"/>
          <w:sz w:val="24"/>
          <w:szCs w:val="24"/>
          <w:lang w:val="id-ID"/>
        </w:rPr>
        <w:t>straight arrows</w:t>
      </w:r>
    </w:p>
    <w:p w:rsidR="00607781" w:rsidRDefault="00443531" w:rsidP="009E423A">
      <w:pPr>
        <w:pStyle w:val="ListParagraph"/>
        <w:spacing w:line="480" w:lineRule="auto"/>
        <w:jc w:val="both"/>
        <w:rPr>
          <w:rFonts w:ascii="Times New Roman" w:hAnsi="Times New Roman" w:cs="Times New Roman"/>
          <w:bCs/>
          <w:color w:val="000000"/>
          <w:sz w:val="24"/>
          <w:szCs w:val="24"/>
          <w:lang w:val="id-ID"/>
        </w:rPr>
      </w:pPr>
      <w:r w:rsidRPr="009D7E67">
        <w:rPr>
          <w:rFonts w:ascii="Times New Roman" w:hAnsi="Times New Roman" w:cs="Times New Roman"/>
          <w:bCs/>
          <w:color w:val="000000"/>
          <w:sz w:val="24"/>
          <w:szCs w:val="24"/>
          <w:lang w:val="id-ID"/>
        </w:rPr>
        <w:t xml:space="preserve">Kelompok ini kadang kadang bersifat </w:t>
      </w:r>
      <w:r w:rsidRPr="009D7E67">
        <w:rPr>
          <w:rFonts w:ascii="Times New Roman" w:hAnsi="Times New Roman" w:cs="Times New Roman"/>
          <w:bCs/>
          <w:i/>
          <w:color w:val="000000"/>
          <w:sz w:val="24"/>
          <w:szCs w:val="24"/>
          <w:lang w:val="id-ID"/>
        </w:rPr>
        <w:t>risk averse</w:t>
      </w:r>
      <w:r w:rsidRPr="009D7E67">
        <w:rPr>
          <w:rFonts w:ascii="Times New Roman" w:hAnsi="Times New Roman" w:cs="Times New Roman"/>
          <w:bCs/>
          <w:color w:val="000000"/>
          <w:sz w:val="24"/>
          <w:szCs w:val="24"/>
          <w:lang w:val="id-ID"/>
        </w:rPr>
        <w:t xml:space="preserve"> dan kadang </w:t>
      </w:r>
      <w:r w:rsidRPr="009D7E67">
        <w:rPr>
          <w:rFonts w:ascii="Times New Roman" w:hAnsi="Times New Roman" w:cs="Times New Roman"/>
          <w:bCs/>
          <w:i/>
          <w:color w:val="000000"/>
          <w:sz w:val="24"/>
          <w:szCs w:val="24"/>
          <w:lang w:val="id-ID"/>
        </w:rPr>
        <w:t>risk takers</w:t>
      </w:r>
      <w:r w:rsidRPr="009D7E67">
        <w:rPr>
          <w:rFonts w:ascii="Times New Roman" w:hAnsi="Times New Roman" w:cs="Times New Roman"/>
          <w:bCs/>
          <w:color w:val="000000"/>
          <w:sz w:val="24"/>
          <w:szCs w:val="24"/>
          <w:lang w:val="id-ID"/>
        </w:rPr>
        <w:t xml:space="preserve">. Di lain kesempatan juga bisa bersifat </w:t>
      </w:r>
      <w:r w:rsidRPr="009D7E67">
        <w:rPr>
          <w:rFonts w:ascii="Times New Roman" w:hAnsi="Times New Roman" w:cs="Times New Roman"/>
          <w:bCs/>
          <w:i/>
          <w:color w:val="000000"/>
          <w:sz w:val="24"/>
          <w:szCs w:val="24"/>
          <w:lang w:val="id-ID"/>
        </w:rPr>
        <w:t>individualists</w:t>
      </w:r>
      <w:r w:rsidRPr="009D7E67">
        <w:rPr>
          <w:rFonts w:ascii="Times New Roman" w:hAnsi="Times New Roman" w:cs="Times New Roman"/>
          <w:bCs/>
          <w:color w:val="000000"/>
          <w:sz w:val="24"/>
          <w:szCs w:val="24"/>
          <w:lang w:val="id-ID"/>
        </w:rPr>
        <w:t xml:space="preserve"> dan pada waktu yang lain lebih menampakkan sifat </w:t>
      </w:r>
      <w:r w:rsidRPr="009D7E67">
        <w:rPr>
          <w:rFonts w:ascii="Times New Roman" w:hAnsi="Times New Roman" w:cs="Times New Roman"/>
          <w:bCs/>
          <w:i/>
          <w:color w:val="000000"/>
          <w:sz w:val="24"/>
          <w:szCs w:val="24"/>
          <w:lang w:val="id-ID"/>
        </w:rPr>
        <w:t>follow the crowd</w:t>
      </w:r>
      <w:r w:rsidRPr="009D7E67">
        <w:rPr>
          <w:rFonts w:ascii="Times New Roman" w:hAnsi="Times New Roman" w:cs="Times New Roman"/>
          <w:bCs/>
          <w:color w:val="000000"/>
          <w:sz w:val="24"/>
          <w:szCs w:val="24"/>
          <w:lang w:val="id-ID"/>
        </w:rPr>
        <w:t>.</w:t>
      </w:r>
    </w:p>
    <w:p w:rsidR="009E423A" w:rsidRPr="009E423A" w:rsidRDefault="009E423A" w:rsidP="009E423A">
      <w:pPr>
        <w:pStyle w:val="ListParagraph"/>
        <w:spacing w:line="480" w:lineRule="auto"/>
        <w:jc w:val="both"/>
        <w:rPr>
          <w:rFonts w:ascii="Times New Roman" w:hAnsi="Times New Roman" w:cs="Times New Roman"/>
          <w:bCs/>
          <w:color w:val="000000"/>
          <w:sz w:val="24"/>
          <w:szCs w:val="24"/>
          <w:lang w:val="en-GB"/>
        </w:rPr>
      </w:pPr>
    </w:p>
    <w:p w:rsidR="00002434" w:rsidRPr="004B7BCA" w:rsidRDefault="00502088" w:rsidP="004B7BCA">
      <w:pPr>
        <w:spacing w:line="480" w:lineRule="auto"/>
        <w:contextualSpacing/>
        <w:rPr>
          <w:b/>
          <w:lang w:val="en-GB"/>
        </w:rPr>
      </w:pPr>
      <w:r>
        <w:rPr>
          <w:b/>
          <w:lang w:val="en-GB"/>
        </w:rPr>
        <w:t>2.5</w:t>
      </w:r>
      <w:r w:rsidR="00443531">
        <w:rPr>
          <w:b/>
          <w:lang w:val="en-GB"/>
        </w:rPr>
        <w:t>. Pe</w:t>
      </w:r>
      <w:r w:rsidR="0040763F">
        <w:rPr>
          <w:b/>
          <w:lang w:val="en-GB"/>
        </w:rPr>
        <w:t>n</w:t>
      </w:r>
      <w:r w:rsidR="00443531">
        <w:rPr>
          <w:b/>
          <w:lang w:val="en-GB"/>
        </w:rPr>
        <w:t>gukuran Sentimen Investor</w:t>
      </w:r>
    </w:p>
    <w:p w:rsidR="00443531" w:rsidRDefault="00443531" w:rsidP="00443531">
      <w:pPr>
        <w:spacing w:line="480" w:lineRule="auto"/>
        <w:ind w:firstLine="720"/>
        <w:jc w:val="both"/>
        <w:rPr>
          <w:lang w:val="en-GB"/>
        </w:rPr>
      </w:pPr>
      <w:r w:rsidRPr="001213D8">
        <w:rPr>
          <w:lang w:val="en-GB"/>
        </w:rPr>
        <w:t>Sentimen investor sebag</w:t>
      </w:r>
      <w:r>
        <w:rPr>
          <w:lang w:val="en-GB"/>
        </w:rPr>
        <w:t xml:space="preserve">ai salah satu faktor yang berpengaruh terhadap </w:t>
      </w:r>
      <w:r w:rsidRPr="001213D8">
        <w:rPr>
          <w:lang w:val="en-GB"/>
        </w:rPr>
        <w:t xml:space="preserve">harga dan return </w:t>
      </w:r>
      <w:r>
        <w:rPr>
          <w:lang w:val="en-GB"/>
        </w:rPr>
        <w:t>saham dapat diukur</w:t>
      </w:r>
      <w:r w:rsidRPr="001213D8">
        <w:rPr>
          <w:lang w:val="en-GB"/>
        </w:rPr>
        <w:t xml:space="preserve"> seperti yang dikemukakan oleh Baker dan Wrugler (2007).  Beberapa cara yang bisa dijad</w:t>
      </w:r>
      <w:r>
        <w:rPr>
          <w:lang w:val="en-GB"/>
        </w:rPr>
        <w:t>ikan proksi pengukuran sentimen</w:t>
      </w:r>
      <w:r w:rsidRPr="001213D8">
        <w:rPr>
          <w:lang w:val="en-GB"/>
        </w:rPr>
        <w:t xml:space="preserve"> investor adalah </w:t>
      </w:r>
      <w:r>
        <w:rPr>
          <w:lang w:val="en-GB"/>
        </w:rPr>
        <w:t xml:space="preserve">Investor survey, </w:t>
      </w:r>
      <w:r w:rsidRPr="006355D3">
        <w:rPr>
          <w:i/>
          <w:lang w:val="en-GB"/>
        </w:rPr>
        <w:t>investor mood</w:t>
      </w:r>
      <w:r>
        <w:rPr>
          <w:lang w:val="en-GB"/>
        </w:rPr>
        <w:t xml:space="preserve">, retail investor trader, </w:t>
      </w:r>
      <w:r w:rsidRPr="001213D8">
        <w:rPr>
          <w:i/>
          <w:lang w:val="en-GB"/>
        </w:rPr>
        <w:t>mutual fund flow</w:t>
      </w:r>
      <w:r>
        <w:rPr>
          <w:lang w:val="en-GB"/>
        </w:rPr>
        <w:t xml:space="preserve">, trading volume, dividen premium, close-end fund discount,  volatily, IPO first day </w:t>
      </w:r>
      <w:r w:rsidRPr="001213D8">
        <w:rPr>
          <w:i/>
          <w:lang w:val="en-GB"/>
        </w:rPr>
        <w:t>return</w:t>
      </w:r>
      <w:r w:rsidRPr="001213D8">
        <w:rPr>
          <w:lang w:val="en-GB"/>
        </w:rPr>
        <w:t xml:space="preserve">,Volume IPO, </w:t>
      </w:r>
      <w:r>
        <w:rPr>
          <w:lang w:val="en-GB"/>
        </w:rPr>
        <w:t>dan berdasarkan insider trading (Baker dan Wrugler, 2007)</w:t>
      </w:r>
    </w:p>
    <w:p w:rsidR="009E423A" w:rsidRDefault="009E423A" w:rsidP="00443531">
      <w:pPr>
        <w:spacing w:line="480" w:lineRule="auto"/>
        <w:ind w:firstLine="720"/>
        <w:jc w:val="both"/>
        <w:rPr>
          <w:lang w:val="en-GB"/>
        </w:rPr>
      </w:pPr>
    </w:p>
    <w:p w:rsidR="00443531" w:rsidRDefault="00443531" w:rsidP="00443531">
      <w:pPr>
        <w:pStyle w:val="ListParagraph"/>
        <w:numPr>
          <w:ilvl w:val="0"/>
          <w:numId w:val="5"/>
        </w:num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Investor Mood</w:t>
      </w:r>
    </w:p>
    <w:p w:rsidR="00443531" w:rsidRPr="00D41395" w:rsidRDefault="00443531" w:rsidP="00443531">
      <w:pPr>
        <w:pStyle w:val="ListParagraph"/>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Investor Mood menggambarkan emosi investor pada saat berinvestasi. Lucas, R.E,1978 dalam penelitiannya  yang berjudul “</w:t>
      </w:r>
      <w:r w:rsidRPr="00D41395">
        <w:rPr>
          <w:rFonts w:ascii="Times New Roman" w:hAnsi="Times New Roman" w:cs="Times New Roman"/>
          <w:i/>
          <w:sz w:val="24"/>
          <w:szCs w:val="24"/>
          <w:lang w:val="en-GB"/>
        </w:rPr>
        <w:t>Asset prices in an exchange economy</w:t>
      </w:r>
      <w:r>
        <w:rPr>
          <w:rFonts w:ascii="Times New Roman" w:hAnsi="Times New Roman" w:cs="Times New Roman"/>
          <w:sz w:val="24"/>
          <w:szCs w:val="24"/>
          <w:lang w:val="en-GB"/>
        </w:rPr>
        <w:t xml:space="preserve">”  melakukan studi tentang bagaimana investor mood berpengaruh terhadap keseimbangan pada harga asset dan return yang diharapkan. Hasilnya menunjukkan bahwa investor mood berhubungan positif dengan harga maupun return saham. Mood yang baik akan mendorong harga saham. Artinya ketika investor memiliki mood yang baik maka akan melakukan permintaan saham yang akhirnya akan mendorong harga saham. </w:t>
      </w:r>
    </w:p>
    <w:p w:rsidR="00443531" w:rsidRDefault="00443531" w:rsidP="00443531">
      <w:pPr>
        <w:pStyle w:val="ListParagraph"/>
        <w:numPr>
          <w:ilvl w:val="0"/>
          <w:numId w:val="5"/>
        </w:num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NIPO (</w:t>
      </w:r>
      <w:r w:rsidRPr="007B7896">
        <w:rPr>
          <w:rFonts w:ascii="Times New Roman" w:hAnsi="Times New Roman" w:cs="Times New Roman"/>
          <w:b/>
          <w:i/>
          <w:sz w:val="24"/>
          <w:szCs w:val="24"/>
          <w:lang w:val="en-GB"/>
        </w:rPr>
        <w:t>Number of  IPO</w:t>
      </w:r>
      <w:r>
        <w:rPr>
          <w:rFonts w:ascii="Times New Roman" w:hAnsi="Times New Roman" w:cs="Times New Roman"/>
          <w:b/>
          <w:sz w:val="24"/>
          <w:szCs w:val="24"/>
          <w:lang w:val="en-GB"/>
        </w:rPr>
        <w:t>)</w:t>
      </w:r>
    </w:p>
    <w:p w:rsidR="00443531" w:rsidRPr="00443531" w:rsidRDefault="00443531" w:rsidP="00443531">
      <w:pPr>
        <w:pStyle w:val="ListParagraph"/>
        <w:spacing w:line="480" w:lineRule="auto"/>
        <w:jc w:val="both"/>
        <w:rPr>
          <w:rFonts w:ascii="Times New Roman" w:hAnsi="Times New Roman" w:cs="Times New Roman"/>
          <w:sz w:val="24"/>
          <w:szCs w:val="24"/>
          <w:lang w:val="en-GB"/>
        </w:rPr>
      </w:pPr>
      <w:r w:rsidRPr="006355D3">
        <w:rPr>
          <w:rFonts w:ascii="Times New Roman" w:hAnsi="Times New Roman" w:cs="Times New Roman"/>
          <w:sz w:val="24"/>
          <w:szCs w:val="24"/>
          <w:lang w:val="en-GB"/>
        </w:rPr>
        <w:t>Sentimen investor diukur dengan</w:t>
      </w:r>
      <w:r>
        <w:rPr>
          <w:rFonts w:ascii="Times New Roman" w:hAnsi="Times New Roman" w:cs="Times New Roman"/>
          <w:sz w:val="24"/>
          <w:szCs w:val="24"/>
          <w:lang w:val="en-GB"/>
        </w:rPr>
        <w:t xml:space="preserve"> NIPO (</w:t>
      </w:r>
      <w:r w:rsidRPr="006355D3">
        <w:rPr>
          <w:rFonts w:ascii="Times New Roman" w:hAnsi="Times New Roman" w:cs="Times New Roman"/>
          <w:i/>
          <w:sz w:val="24"/>
          <w:szCs w:val="24"/>
          <w:lang w:val="en-GB"/>
        </w:rPr>
        <w:t>Number of IPO</w:t>
      </w:r>
      <w:r>
        <w:rPr>
          <w:rFonts w:ascii="Times New Roman" w:hAnsi="Times New Roman" w:cs="Times New Roman"/>
          <w:sz w:val="24"/>
          <w:szCs w:val="24"/>
          <w:lang w:val="en-GB"/>
        </w:rPr>
        <w:t xml:space="preserve">) yaitu jumlah perusahaaan yang mengeluarkan saham di pasar primer pada tahun penelitian. Volume pada IPO mencerminkan kepercayaan investor terhadap kondisi pasar modal dengan penilaian oleh investor terhadap prospek sebuah perusahaan dimasa yang akan datang. Apabila volume IPO meningkat artinya investor percaya akan prospek pasar modal kedepannya. Dengan demikian volume pada IPO digunakan sebagai </w:t>
      </w:r>
      <w:r w:rsidRPr="007B7896">
        <w:rPr>
          <w:rFonts w:ascii="Times New Roman" w:hAnsi="Times New Roman" w:cs="Times New Roman"/>
          <w:i/>
          <w:sz w:val="24"/>
          <w:szCs w:val="24"/>
          <w:lang w:val="en-GB"/>
        </w:rPr>
        <w:t>proxy</w:t>
      </w:r>
      <w:r>
        <w:rPr>
          <w:rFonts w:ascii="Times New Roman" w:hAnsi="Times New Roman" w:cs="Times New Roman"/>
          <w:sz w:val="24"/>
          <w:szCs w:val="24"/>
          <w:lang w:val="en-GB"/>
        </w:rPr>
        <w:t xml:space="preserve"> untuk mengukur sentiment investor.</w:t>
      </w:r>
    </w:p>
    <w:p w:rsidR="00443531" w:rsidRDefault="00443531" w:rsidP="00443531">
      <w:pPr>
        <w:pStyle w:val="ListParagraph"/>
        <w:numPr>
          <w:ilvl w:val="0"/>
          <w:numId w:val="5"/>
        </w:numPr>
        <w:spacing w:line="480" w:lineRule="auto"/>
        <w:jc w:val="both"/>
        <w:rPr>
          <w:rFonts w:ascii="Times New Roman" w:hAnsi="Times New Roman" w:cs="Times New Roman"/>
          <w:b/>
          <w:sz w:val="24"/>
          <w:szCs w:val="24"/>
          <w:lang w:val="en-GB"/>
        </w:rPr>
      </w:pPr>
      <w:r w:rsidRPr="006D20D5">
        <w:rPr>
          <w:rFonts w:ascii="Times New Roman" w:hAnsi="Times New Roman" w:cs="Times New Roman"/>
          <w:b/>
          <w:sz w:val="24"/>
          <w:szCs w:val="24"/>
          <w:lang w:val="en-GB"/>
        </w:rPr>
        <w:t>Likuiditas pasar</w:t>
      </w:r>
    </w:p>
    <w:p w:rsidR="00443531" w:rsidRPr="00C963B5" w:rsidRDefault="00443531" w:rsidP="00443531">
      <w:pPr>
        <w:pStyle w:val="ListParagraph"/>
        <w:spacing w:line="480" w:lineRule="auto"/>
        <w:jc w:val="both"/>
        <w:rPr>
          <w:rFonts w:ascii="Times New Roman" w:hAnsi="Times New Roman" w:cs="Times New Roman"/>
          <w:sz w:val="24"/>
          <w:szCs w:val="24"/>
          <w:lang w:val="en-GB"/>
        </w:rPr>
      </w:pPr>
      <w:r w:rsidRPr="006D20D5">
        <w:rPr>
          <w:rFonts w:ascii="Times New Roman" w:hAnsi="Times New Roman" w:cs="Times New Roman"/>
          <w:sz w:val="24"/>
          <w:szCs w:val="24"/>
          <w:lang w:val="en-GB"/>
        </w:rPr>
        <w:t>Likuiditas</w:t>
      </w:r>
      <w:r>
        <w:rPr>
          <w:rFonts w:ascii="Times New Roman" w:hAnsi="Times New Roman" w:cs="Times New Roman"/>
          <w:sz w:val="24"/>
          <w:szCs w:val="24"/>
          <w:lang w:val="en-GB"/>
        </w:rPr>
        <w:t xml:space="preserve"> pasar modal menggambarkan perputaran saham di pasar bursa merupakan salah satu </w:t>
      </w:r>
      <w:r w:rsidRPr="007B7896">
        <w:rPr>
          <w:rFonts w:ascii="Times New Roman" w:hAnsi="Times New Roman" w:cs="Times New Roman"/>
          <w:i/>
          <w:sz w:val="24"/>
          <w:szCs w:val="24"/>
          <w:lang w:val="en-GB"/>
        </w:rPr>
        <w:t xml:space="preserve">proxy </w:t>
      </w:r>
      <w:r>
        <w:rPr>
          <w:rFonts w:ascii="Times New Roman" w:hAnsi="Times New Roman" w:cs="Times New Roman"/>
          <w:sz w:val="24"/>
          <w:szCs w:val="24"/>
          <w:lang w:val="en-GB"/>
        </w:rPr>
        <w:t xml:space="preserve">sentimen investor (Baker dan Stein, 2004). Untuk mengukur perputaran saham dihitung dengan cara membagi volume perdagangan per bulan dengan jumlah saham yang tercatat di bursa pada bulan tersebut. Meningkatnya likuiditas pasar menunjukkan bahwa investor yakin/percaya akan prospek pasar modal. Menjelang akhir tahun 2017 IHSG </w:t>
      </w:r>
      <w:r w:rsidR="00607781">
        <w:rPr>
          <w:rFonts w:ascii="Times New Roman" w:hAnsi="Times New Roman" w:cs="Times New Roman"/>
          <w:sz w:val="24"/>
          <w:szCs w:val="24"/>
          <w:lang w:val="en-GB"/>
        </w:rPr>
        <w:t>menembus angka Rp</w:t>
      </w:r>
      <w:r>
        <w:rPr>
          <w:rFonts w:ascii="Times New Roman" w:hAnsi="Times New Roman" w:cs="Times New Roman"/>
          <w:sz w:val="24"/>
          <w:szCs w:val="24"/>
          <w:lang w:val="en-GB"/>
        </w:rPr>
        <w:t>6</w:t>
      </w:r>
      <w:r w:rsidR="00607781">
        <w:rPr>
          <w:rFonts w:ascii="Times New Roman" w:hAnsi="Times New Roman" w:cs="Times New Roman"/>
          <w:sz w:val="24"/>
          <w:szCs w:val="24"/>
          <w:lang w:val="en-GB"/>
        </w:rPr>
        <w:t>.</w:t>
      </w:r>
      <w:r>
        <w:rPr>
          <w:rFonts w:ascii="Times New Roman" w:hAnsi="Times New Roman" w:cs="Times New Roman"/>
          <w:sz w:val="24"/>
          <w:szCs w:val="24"/>
          <w:lang w:val="en-GB"/>
        </w:rPr>
        <w:t>000, dan saat ini di tahu</w:t>
      </w:r>
      <w:r w:rsidR="00607781">
        <w:rPr>
          <w:rFonts w:ascii="Times New Roman" w:hAnsi="Times New Roman" w:cs="Times New Roman"/>
          <w:sz w:val="24"/>
          <w:szCs w:val="24"/>
          <w:lang w:val="en-GB"/>
        </w:rPr>
        <w:t>n 2018 IHSG berada dikisaran Rp</w:t>
      </w:r>
      <w:r>
        <w:rPr>
          <w:rFonts w:ascii="Times New Roman" w:hAnsi="Times New Roman" w:cs="Times New Roman"/>
          <w:sz w:val="24"/>
          <w:szCs w:val="24"/>
          <w:lang w:val="en-GB"/>
        </w:rPr>
        <w:t>6</w:t>
      </w:r>
      <w:r w:rsidR="00607781">
        <w:rPr>
          <w:rFonts w:ascii="Times New Roman" w:hAnsi="Times New Roman" w:cs="Times New Roman"/>
          <w:sz w:val="24"/>
          <w:szCs w:val="24"/>
          <w:lang w:val="en-GB"/>
        </w:rPr>
        <w:t>.</w:t>
      </w:r>
      <w:r>
        <w:rPr>
          <w:rFonts w:ascii="Times New Roman" w:hAnsi="Times New Roman" w:cs="Times New Roman"/>
          <w:sz w:val="24"/>
          <w:szCs w:val="24"/>
          <w:lang w:val="en-GB"/>
        </w:rPr>
        <w:t xml:space="preserve">400. Hal </w:t>
      </w:r>
      <w:r>
        <w:rPr>
          <w:rFonts w:ascii="Times New Roman" w:hAnsi="Times New Roman" w:cs="Times New Roman"/>
          <w:sz w:val="24"/>
          <w:szCs w:val="24"/>
          <w:lang w:val="en-GB"/>
        </w:rPr>
        <w:lastRenderedPageBreak/>
        <w:t xml:space="preserve">ini merupakan signal bahwa para investor yakin akan memperoleh return pada saat berinvestasi. </w:t>
      </w:r>
    </w:p>
    <w:p w:rsidR="00443531" w:rsidRDefault="00443531" w:rsidP="00443531">
      <w:pPr>
        <w:pStyle w:val="ListParagraph"/>
        <w:numPr>
          <w:ilvl w:val="0"/>
          <w:numId w:val="5"/>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RIPO (</w:t>
      </w:r>
      <w:r w:rsidRPr="00E9035C">
        <w:rPr>
          <w:rFonts w:ascii="Times New Roman" w:hAnsi="Times New Roman" w:cs="Times New Roman"/>
          <w:b/>
          <w:i/>
          <w:sz w:val="24"/>
          <w:szCs w:val="24"/>
          <w:lang w:val="en-GB"/>
        </w:rPr>
        <w:t>Return Initial Public Offering</w:t>
      </w:r>
      <w:r>
        <w:rPr>
          <w:rFonts w:ascii="Times New Roman" w:hAnsi="Times New Roman" w:cs="Times New Roman"/>
          <w:b/>
          <w:sz w:val="24"/>
          <w:szCs w:val="24"/>
          <w:lang w:val="en-GB"/>
        </w:rPr>
        <w:t>)</w:t>
      </w:r>
    </w:p>
    <w:p w:rsidR="00443531" w:rsidRPr="00443531" w:rsidRDefault="00443531" w:rsidP="00443531">
      <w:pPr>
        <w:pStyle w:val="ListParagraph"/>
        <w:spacing w:line="480" w:lineRule="auto"/>
        <w:jc w:val="both"/>
        <w:rPr>
          <w:rFonts w:ascii="Times New Roman" w:hAnsi="Times New Roman" w:cs="Times New Roman"/>
          <w:sz w:val="24"/>
          <w:szCs w:val="24"/>
          <w:lang w:val="en-GB"/>
        </w:rPr>
      </w:pPr>
      <w:r w:rsidRPr="00E9035C">
        <w:rPr>
          <w:rFonts w:ascii="Times New Roman" w:hAnsi="Times New Roman" w:cs="Times New Roman"/>
          <w:sz w:val="24"/>
          <w:szCs w:val="24"/>
          <w:lang w:val="en-GB"/>
        </w:rPr>
        <w:t xml:space="preserve">RIPO adalah pendapatan </w:t>
      </w:r>
      <w:r>
        <w:rPr>
          <w:rFonts w:ascii="Times New Roman" w:hAnsi="Times New Roman" w:cs="Times New Roman"/>
          <w:sz w:val="24"/>
          <w:szCs w:val="24"/>
          <w:lang w:val="en-GB"/>
        </w:rPr>
        <w:t>(</w:t>
      </w:r>
      <w:r w:rsidRPr="007B7896">
        <w:rPr>
          <w:rFonts w:ascii="Times New Roman" w:hAnsi="Times New Roman" w:cs="Times New Roman"/>
          <w:i/>
          <w:sz w:val="24"/>
          <w:szCs w:val="24"/>
          <w:lang w:val="en-GB"/>
        </w:rPr>
        <w:t>return</w:t>
      </w:r>
      <w:r>
        <w:rPr>
          <w:rFonts w:ascii="Times New Roman" w:hAnsi="Times New Roman" w:cs="Times New Roman"/>
          <w:sz w:val="24"/>
          <w:szCs w:val="24"/>
          <w:lang w:val="en-GB"/>
        </w:rPr>
        <w:t>) satu hari setelah IPO. Return merupakan selisih harga saham saat ini di kurangi dengan harga saham hari sebelumnya dibagi dengan harga saham sebelumnya. Sentimen (</w:t>
      </w:r>
      <w:r w:rsidRPr="00075598">
        <w:rPr>
          <w:rFonts w:ascii="Times New Roman" w:hAnsi="Times New Roman" w:cs="Times New Roman"/>
          <w:i/>
          <w:sz w:val="24"/>
          <w:szCs w:val="24"/>
          <w:lang w:val="en-GB"/>
        </w:rPr>
        <w:t>optimisme</w:t>
      </w:r>
      <w:r>
        <w:rPr>
          <w:rFonts w:ascii="Times New Roman" w:hAnsi="Times New Roman" w:cs="Times New Roman"/>
          <w:sz w:val="24"/>
          <w:szCs w:val="24"/>
          <w:lang w:val="en-GB"/>
        </w:rPr>
        <w:t>) investor dipasar modal Indonesia lebih dipengaruhi adanya ekspektasi investor akan adanya keuntungan jangka pendek (</w:t>
      </w:r>
      <w:r w:rsidRPr="00996912">
        <w:rPr>
          <w:rFonts w:ascii="Times New Roman" w:hAnsi="Times New Roman" w:cs="Times New Roman"/>
          <w:i/>
          <w:sz w:val="24"/>
          <w:szCs w:val="24"/>
          <w:lang w:val="en-GB"/>
        </w:rPr>
        <w:t>capital gain</w:t>
      </w:r>
      <w:r>
        <w:rPr>
          <w:rFonts w:ascii="Times New Roman" w:hAnsi="Times New Roman" w:cs="Times New Roman"/>
          <w:sz w:val="24"/>
          <w:szCs w:val="24"/>
          <w:lang w:val="en-GB"/>
        </w:rPr>
        <w:t xml:space="preserve">). Sehingga terkadang IPO diartikan menjadi </w:t>
      </w:r>
      <w:r w:rsidRPr="007B7896">
        <w:rPr>
          <w:rFonts w:ascii="Times New Roman" w:hAnsi="Times New Roman" w:cs="Times New Roman"/>
          <w:i/>
          <w:sz w:val="24"/>
          <w:szCs w:val="24"/>
          <w:lang w:val="en-GB"/>
        </w:rPr>
        <w:t>Instant Profit Overnight</w:t>
      </w:r>
      <w:r>
        <w:rPr>
          <w:rFonts w:ascii="Times New Roman" w:hAnsi="Times New Roman" w:cs="Times New Roman"/>
          <w:sz w:val="24"/>
          <w:szCs w:val="24"/>
          <w:lang w:val="en-GB"/>
        </w:rPr>
        <w:t xml:space="preserve">. Investor akan meningkatkan permintaan saham IPO bila IPO perusahaan tersebut mampu memberikan daya tarik berupa ekspektasi capital gain yang tinggi kepada investornya pada saat listing. Kondisi pasar yang </w:t>
      </w:r>
      <w:r w:rsidRPr="007E61A8">
        <w:rPr>
          <w:rFonts w:ascii="Times New Roman" w:hAnsi="Times New Roman" w:cs="Times New Roman"/>
          <w:i/>
          <w:sz w:val="24"/>
          <w:szCs w:val="24"/>
          <w:lang w:val="en-GB"/>
        </w:rPr>
        <w:t>bullish</w:t>
      </w:r>
      <w:r>
        <w:rPr>
          <w:rFonts w:ascii="Times New Roman" w:hAnsi="Times New Roman" w:cs="Times New Roman"/>
          <w:sz w:val="24"/>
          <w:szCs w:val="24"/>
          <w:lang w:val="en-GB"/>
        </w:rPr>
        <w:t xml:space="preserve"> akan</w:t>
      </w:r>
      <w:r w:rsidR="00C20460">
        <w:rPr>
          <w:rFonts w:ascii="Times New Roman" w:hAnsi="Times New Roman" w:cs="Times New Roman"/>
          <w:sz w:val="24"/>
          <w:szCs w:val="24"/>
          <w:lang w:val="en-GB"/>
        </w:rPr>
        <w:t xml:space="preserve"> meningkatkan sentiment optimis investor </w:t>
      </w:r>
      <w:r>
        <w:rPr>
          <w:rFonts w:ascii="Times New Roman" w:hAnsi="Times New Roman" w:cs="Times New Roman"/>
          <w:sz w:val="24"/>
          <w:szCs w:val="24"/>
          <w:lang w:val="en-GB"/>
        </w:rPr>
        <w:t xml:space="preserve">dan mengurangi persepsi investor terhadap </w:t>
      </w:r>
      <w:r w:rsidR="00607781">
        <w:rPr>
          <w:rFonts w:ascii="Times New Roman" w:hAnsi="Times New Roman" w:cs="Times New Roman"/>
          <w:sz w:val="24"/>
          <w:szCs w:val="24"/>
          <w:lang w:val="en-GB"/>
        </w:rPr>
        <w:t>risiko</w:t>
      </w:r>
      <w:r>
        <w:rPr>
          <w:rFonts w:ascii="Times New Roman" w:hAnsi="Times New Roman" w:cs="Times New Roman"/>
          <w:sz w:val="24"/>
          <w:szCs w:val="24"/>
          <w:lang w:val="en-GB"/>
        </w:rPr>
        <w:t xml:space="preserve"> ketidakpastian. Demikian pula sebaliknya pada kondisi </w:t>
      </w:r>
      <w:r w:rsidR="00867176">
        <w:rPr>
          <w:rFonts w:ascii="Times New Roman" w:hAnsi="Times New Roman" w:cs="Times New Roman"/>
          <w:sz w:val="24"/>
          <w:szCs w:val="24"/>
          <w:lang w:val="en-GB"/>
        </w:rPr>
        <w:t>BEA</w:t>
      </w:r>
      <w:r>
        <w:rPr>
          <w:rFonts w:ascii="Times New Roman" w:hAnsi="Times New Roman" w:cs="Times New Roman"/>
          <w:sz w:val="24"/>
          <w:szCs w:val="24"/>
          <w:lang w:val="en-GB"/>
        </w:rPr>
        <w:t xml:space="preserve">rish akan meningkatkan pesimis investor dan menambah persepsi investor terhadap </w:t>
      </w:r>
      <w:r w:rsidR="00607781">
        <w:rPr>
          <w:rFonts w:ascii="Times New Roman" w:hAnsi="Times New Roman" w:cs="Times New Roman"/>
          <w:sz w:val="24"/>
          <w:szCs w:val="24"/>
          <w:lang w:val="en-GB"/>
        </w:rPr>
        <w:t>risiko</w:t>
      </w:r>
      <w:r>
        <w:rPr>
          <w:rFonts w:ascii="Times New Roman" w:hAnsi="Times New Roman" w:cs="Times New Roman"/>
          <w:sz w:val="24"/>
          <w:szCs w:val="24"/>
          <w:lang w:val="en-GB"/>
        </w:rPr>
        <w:t xml:space="preserve"> ketidakpastian.</w:t>
      </w:r>
    </w:p>
    <w:p w:rsidR="00443531" w:rsidRDefault="00443531" w:rsidP="00443531">
      <w:pPr>
        <w:pStyle w:val="ListParagraph"/>
        <w:numPr>
          <w:ilvl w:val="0"/>
          <w:numId w:val="5"/>
        </w:numPr>
        <w:spacing w:line="48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Mutual Fund Flow</w:t>
      </w:r>
    </w:p>
    <w:p w:rsidR="00607781" w:rsidRDefault="00443531" w:rsidP="00607781">
      <w:pPr>
        <w:pStyle w:val="ListParagraph"/>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Aliran modal reksadana (</w:t>
      </w:r>
      <w:r w:rsidRPr="00D20A59">
        <w:rPr>
          <w:rFonts w:ascii="Times New Roman" w:hAnsi="Times New Roman" w:cs="Times New Roman"/>
          <w:i/>
          <w:sz w:val="24"/>
          <w:szCs w:val="24"/>
          <w:lang w:val="en-GB"/>
        </w:rPr>
        <w:t>mutual fund flow</w:t>
      </w:r>
      <w:r>
        <w:rPr>
          <w:rFonts w:ascii="Times New Roman" w:hAnsi="Times New Roman" w:cs="Times New Roman"/>
          <w:sz w:val="24"/>
          <w:szCs w:val="24"/>
          <w:lang w:val="en-GB"/>
        </w:rPr>
        <w:t>) dapat dilihat dari aliran modal masuk (</w:t>
      </w:r>
      <w:r w:rsidRPr="00D20A59">
        <w:rPr>
          <w:rFonts w:ascii="Times New Roman" w:hAnsi="Times New Roman" w:cs="Times New Roman"/>
          <w:i/>
          <w:sz w:val="24"/>
          <w:szCs w:val="24"/>
          <w:lang w:val="en-GB"/>
        </w:rPr>
        <w:t>inflow</w:t>
      </w:r>
      <w:r>
        <w:rPr>
          <w:rFonts w:ascii="Times New Roman" w:hAnsi="Times New Roman" w:cs="Times New Roman"/>
          <w:sz w:val="24"/>
          <w:szCs w:val="24"/>
          <w:lang w:val="en-GB"/>
        </w:rPr>
        <w:t>), aliran dana keluar (</w:t>
      </w:r>
      <w:r w:rsidRPr="00D20A59">
        <w:rPr>
          <w:rFonts w:ascii="Times New Roman" w:hAnsi="Times New Roman" w:cs="Times New Roman"/>
          <w:i/>
          <w:sz w:val="24"/>
          <w:szCs w:val="24"/>
          <w:lang w:val="en-GB"/>
        </w:rPr>
        <w:t>outflow</w:t>
      </w:r>
      <w:r>
        <w:rPr>
          <w:rFonts w:ascii="Times New Roman" w:hAnsi="Times New Roman" w:cs="Times New Roman"/>
          <w:sz w:val="24"/>
          <w:szCs w:val="24"/>
          <w:lang w:val="en-GB"/>
        </w:rPr>
        <w:t>) dan aliran dana bersih (</w:t>
      </w:r>
      <w:r w:rsidRPr="00D20A59">
        <w:rPr>
          <w:rFonts w:ascii="Times New Roman" w:hAnsi="Times New Roman" w:cs="Times New Roman"/>
          <w:i/>
          <w:sz w:val="24"/>
          <w:szCs w:val="24"/>
          <w:lang w:val="en-GB"/>
        </w:rPr>
        <w:t>net flow</w:t>
      </w:r>
      <w:r>
        <w:rPr>
          <w:rFonts w:ascii="Times New Roman" w:hAnsi="Times New Roman" w:cs="Times New Roman"/>
          <w:sz w:val="24"/>
          <w:szCs w:val="24"/>
          <w:lang w:val="en-GB"/>
        </w:rPr>
        <w:t>). U</w:t>
      </w:r>
      <w:r w:rsidRPr="007527C7">
        <w:rPr>
          <w:rFonts w:ascii="Times New Roman" w:hAnsi="Times New Roman" w:cs="Times New Roman"/>
          <w:sz w:val="24"/>
          <w:szCs w:val="24"/>
          <w:lang w:val="en-GB"/>
        </w:rPr>
        <w:t>ang yang masuk</w:t>
      </w:r>
      <w:r>
        <w:rPr>
          <w:rFonts w:ascii="Times New Roman" w:hAnsi="Times New Roman" w:cs="Times New Roman"/>
          <w:sz w:val="24"/>
          <w:szCs w:val="24"/>
          <w:lang w:val="en-GB"/>
        </w:rPr>
        <w:t xml:space="preserve"> dan keluar dari </w:t>
      </w:r>
      <w:r w:rsidRPr="007527C7">
        <w:rPr>
          <w:rFonts w:ascii="Times New Roman" w:hAnsi="Times New Roman" w:cs="Times New Roman"/>
          <w:i/>
          <w:sz w:val="24"/>
          <w:szCs w:val="24"/>
          <w:lang w:val="en-GB"/>
        </w:rPr>
        <w:t>mutual fund</w:t>
      </w:r>
      <w:r>
        <w:rPr>
          <w:rFonts w:ascii="Times New Roman" w:hAnsi="Times New Roman" w:cs="Times New Roman"/>
          <w:sz w:val="24"/>
          <w:szCs w:val="24"/>
          <w:lang w:val="en-GB"/>
        </w:rPr>
        <w:t xml:space="preserve"> (reksadana) adalah sebuah indikator modern berbasis sentimen. Aliran modal reksadana memang bukan cerminan dari sentiment investor tetapi indikator ini merupakan perwakilan dari cara investor berpartisipasi di dalam pasar. </w:t>
      </w:r>
    </w:p>
    <w:p w:rsidR="00443531" w:rsidRPr="00607781" w:rsidRDefault="00443531" w:rsidP="00607781">
      <w:pPr>
        <w:pStyle w:val="ListParagraph"/>
        <w:spacing w:line="480" w:lineRule="auto"/>
        <w:jc w:val="both"/>
        <w:rPr>
          <w:rFonts w:ascii="Times New Roman" w:hAnsi="Times New Roman" w:cs="Times New Roman"/>
          <w:sz w:val="24"/>
          <w:szCs w:val="24"/>
          <w:lang w:val="en-GB"/>
        </w:rPr>
      </w:pPr>
      <w:r w:rsidRPr="00607781">
        <w:rPr>
          <w:rFonts w:ascii="Times New Roman" w:hAnsi="Times New Roman" w:cs="Times New Roman"/>
          <w:sz w:val="24"/>
          <w:szCs w:val="24"/>
          <w:lang w:val="en-GB"/>
        </w:rPr>
        <w:t xml:space="preserve">Data menunjukkan bahwa aliran modal masuk ke reksadana tidak menjamin masa masa yang baik untuk investor. Bahkan beberapa ahli ekonomi melihat indikator ini sebagai </w:t>
      </w:r>
      <w:r w:rsidRPr="00607781">
        <w:rPr>
          <w:rFonts w:ascii="Times New Roman" w:hAnsi="Times New Roman" w:cs="Times New Roman"/>
          <w:i/>
          <w:sz w:val="24"/>
          <w:szCs w:val="24"/>
          <w:lang w:val="en-GB"/>
        </w:rPr>
        <w:t>false positif</w:t>
      </w:r>
      <w:r w:rsidRPr="00607781">
        <w:rPr>
          <w:rFonts w:ascii="Times New Roman" w:hAnsi="Times New Roman" w:cs="Times New Roman"/>
          <w:sz w:val="24"/>
          <w:szCs w:val="24"/>
          <w:lang w:val="en-GB"/>
        </w:rPr>
        <w:t xml:space="preserve"> (indikator positif yang salah) atau </w:t>
      </w:r>
      <w:r w:rsidRPr="00607781">
        <w:rPr>
          <w:rFonts w:ascii="Times New Roman" w:hAnsi="Times New Roman" w:cs="Times New Roman"/>
          <w:i/>
          <w:sz w:val="24"/>
          <w:szCs w:val="24"/>
          <w:lang w:val="en-GB"/>
        </w:rPr>
        <w:t>contrarian indicator</w:t>
      </w:r>
      <w:r w:rsidRPr="00607781">
        <w:rPr>
          <w:rFonts w:ascii="Times New Roman" w:hAnsi="Times New Roman" w:cs="Times New Roman"/>
          <w:sz w:val="24"/>
          <w:szCs w:val="24"/>
          <w:lang w:val="en-GB"/>
        </w:rPr>
        <w:t xml:space="preserve">, dengan logika bahwa </w:t>
      </w:r>
      <w:r w:rsidRPr="00607781">
        <w:rPr>
          <w:rFonts w:ascii="Times New Roman" w:hAnsi="Times New Roman" w:cs="Times New Roman"/>
          <w:sz w:val="24"/>
          <w:szCs w:val="24"/>
          <w:lang w:val="en-GB"/>
        </w:rPr>
        <w:lastRenderedPageBreak/>
        <w:t>kebanyakan orang akan menambah jumlah uangnya ke pasar modal jika pasar telah bergerak naik dan telah meneriman banyak berita positif.</w:t>
      </w:r>
    </w:p>
    <w:p w:rsidR="00443531" w:rsidRDefault="00443531" w:rsidP="00443531">
      <w:pPr>
        <w:pStyle w:val="ListParagraph"/>
        <w:numPr>
          <w:ilvl w:val="0"/>
          <w:numId w:val="5"/>
        </w:numPr>
        <w:spacing w:line="480" w:lineRule="auto"/>
        <w:jc w:val="both"/>
        <w:rPr>
          <w:rFonts w:ascii="Times New Roman" w:hAnsi="Times New Roman" w:cs="Times New Roman"/>
          <w:b/>
          <w:sz w:val="24"/>
          <w:szCs w:val="24"/>
          <w:lang w:val="en-GB"/>
        </w:rPr>
      </w:pPr>
      <w:r w:rsidRPr="00A5759F">
        <w:rPr>
          <w:rFonts w:ascii="Times New Roman" w:hAnsi="Times New Roman" w:cs="Times New Roman"/>
          <w:b/>
          <w:sz w:val="24"/>
          <w:szCs w:val="24"/>
          <w:lang w:val="en-GB"/>
        </w:rPr>
        <w:t>Insider trading</w:t>
      </w:r>
    </w:p>
    <w:p w:rsidR="00443531" w:rsidRDefault="00443531" w:rsidP="00443531">
      <w:pPr>
        <w:pStyle w:val="ListParagraph"/>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Insider trading didefinisikan sebagai malpraktek dimana perdagangan efek perusahaan yang dilakukan oleh orang-orang yang berdasarkan pekerjaan mereka memiliki akses ke informasi yang dinyatakan non publik yang dapat menjadi sangat penting untuk membuat keputusan investasi. </w:t>
      </w:r>
    </w:p>
    <w:p w:rsidR="00F20510" w:rsidRPr="00443531" w:rsidRDefault="00443531" w:rsidP="00443531">
      <w:pPr>
        <w:pStyle w:val="ListParagraph"/>
        <w:spacing w:line="48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Insider trading m</w:t>
      </w:r>
      <w:r w:rsidRPr="00A5759F">
        <w:rPr>
          <w:rFonts w:ascii="Times New Roman" w:hAnsi="Times New Roman" w:cs="Times New Roman"/>
          <w:sz w:val="24"/>
          <w:szCs w:val="24"/>
          <w:lang w:val="en-GB"/>
        </w:rPr>
        <w:t>erupakan sebutan</w:t>
      </w:r>
      <w:r>
        <w:rPr>
          <w:rFonts w:ascii="Times New Roman" w:hAnsi="Times New Roman" w:cs="Times New Roman"/>
          <w:sz w:val="24"/>
          <w:szCs w:val="24"/>
          <w:lang w:val="en-GB"/>
        </w:rPr>
        <w:t xml:space="preserve"> bagi perdagangan saham atau sekuritas perusahaan oleh orang orang dalam perusahaan tersebut yang memiliki akses ke informasi non publik tentang perusahaan.  Diberbagai negara, perdagangan berdasarkan informasi orang dalam adalah Ilegal. Undang-Undang No 8 Tahun 1995 tentang Pasar Modal telah melarang kejahatan insider trading. Pasal tersebut menyatakan bahwa orang dalam dari emiten atau perusahaan publik yang mempunyai informasi orang dalam dilarang melakukan pembelian atau penjualan atas efek. Insider trading dikatakan terjadi apabila terpenuhi beberapa unsur yakni: Adanya orang dalam, informasi orang dalam itu bersifat material dan belum dipublikasikan kepada publik dan adanya transaksi perdagangan efek oleh orang dalam berdasarkan informasi tersebut.</w:t>
      </w:r>
    </w:p>
    <w:p w:rsidR="00502088" w:rsidRPr="00502088" w:rsidRDefault="00502088" w:rsidP="00502088">
      <w:pPr>
        <w:spacing w:line="360" w:lineRule="auto"/>
        <w:contextualSpacing/>
        <w:rPr>
          <w:rFonts w:eastAsia="Calibri"/>
          <w:b/>
          <w:lang w:eastAsia="en-US"/>
        </w:rPr>
      </w:pPr>
      <w:r w:rsidRPr="00502088">
        <w:rPr>
          <w:rFonts w:eastAsia="Calibri"/>
          <w:b/>
          <w:lang w:eastAsia="en-US"/>
        </w:rPr>
        <w:t>2.</w:t>
      </w:r>
      <w:r>
        <w:rPr>
          <w:rFonts w:eastAsia="Calibri"/>
          <w:b/>
          <w:lang w:eastAsia="en-US"/>
        </w:rPr>
        <w:t>6</w:t>
      </w:r>
      <w:r w:rsidRPr="00502088">
        <w:rPr>
          <w:rFonts w:eastAsia="Calibri"/>
          <w:b/>
          <w:lang w:eastAsia="en-US"/>
        </w:rPr>
        <w:t xml:space="preserve">.   </w:t>
      </w:r>
      <w:r w:rsidRPr="00502088">
        <w:rPr>
          <w:rFonts w:eastAsia="Calibri"/>
          <w:b/>
          <w:i/>
          <w:lang w:eastAsia="en-US"/>
        </w:rPr>
        <w:t>Event Studies</w:t>
      </w:r>
      <w:r w:rsidRPr="00502088">
        <w:rPr>
          <w:rFonts w:eastAsia="Calibri"/>
          <w:b/>
          <w:lang w:eastAsia="en-US"/>
        </w:rPr>
        <w:cr/>
      </w:r>
    </w:p>
    <w:p w:rsidR="00502088" w:rsidRPr="00502088" w:rsidRDefault="00502088" w:rsidP="00502088">
      <w:pPr>
        <w:spacing w:line="480" w:lineRule="auto"/>
        <w:ind w:firstLine="720"/>
        <w:contextualSpacing/>
        <w:jc w:val="both"/>
        <w:rPr>
          <w:rFonts w:eastAsia="Calibri"/>
          <w:lang w:eastAsia="en-US"/>
        </w:rPr>
      </w:pPr>
      <w:r w:rsidRPr="00502088">
        <w:rPr>
          <w:rFonts w:eastAsia="Calibri"/>
          <w:i/>
          <w:lang w:eastAsia="en-US"/>
        </w:rPr>
        <w:t>Event studies</w:t>
      </w:r>
      <w:r w:rsidRPr="00502088">
        <w:rPr>
          <w:rFonts w:eastAsia="Calibri"/>
          <w:lang w:eastAsia="en-US"/>
        </w:rPr>
        <w:t xml:space="preserve"> diartikan sebagai mempelajari pengaruh suatu peristiwa terhadap harga saham di pasar, baik pada saat peristiwa itu terjadi maupun beberapa saat setelah peristiwa itu terjadi. Apakah harga saham akan meningkat atau menurun setelah peristiwa itu terjadi atau apakah harga saham sudah terpengaruh sebelum peristiwa itu terjadi secara resmi? (Samsul, 273). Studi peristiwa (</w:t>
      </w:r>
      <w:r w:rsidRPr="00502088">
        <w:rPr>
          <w:rFonts w:eastAsia="Calibri"/>
          <w:i/>
          <w:lang w:eastAsia="en-US"/>
        </w:rPr>
        <w:t>event study</w:t>
      </w:r>
      <w:r w:rsidRPr="00502088">
        <w:rPr>
          <w:rFonts w:eastAsia="Calibri"/>
          <w:lang w:eastAsia="en-US"/>
        </w:rPr>
        <w:t xml:space="preserve">) merupakan suatu studi yang mengkaji reaksi reaksi pasar terhadap </w:t>
      </w:r>
      <w:r w:rsidRPr="00502088">
        <w:rPr>
          <w:rFonts w:eastAsia="Calibri"/>
          <w:lang w:eastAsia="en-US"/>
        </w:rPr>
        <w:lastRenderedPageBreak/>
        <w:t>suatu peristiwa yang informasinya dipublikasikan. Kandungan informasi yang dipublikasikan dapat berupa berita baik (</w:t>
      </w:r>
      <w:r w:rsidRPr="00502088">
        <w:rPr>
          <w:rFonts w:eastAsia="Calibri"/>
          <w:i/>
          <w:lang w:eastAsia="en-US"/>
        </w:rPr>
        <w:t>good news</w:t>
      </w:r>
      <w:r w:rsidRPr="00502088">
        <w:rPr>
          <w:rFonts w:eastAsia="Calibri"/>
          <w:lang w:eastAsia="en-US"/>
        </w:rPr>
        <w:t>) ataupun berita buruk (</w:t>
      </w:r>
      <w:r w:rsidRPr="00502088">
        <w:rPr>
          <w:rFonts w:eastAsia="Calibri"/>
          <w:i/>
          <w:lang w:eastAsia="en-US"/>
        </w:rPr>
        <w:t>bad news</w:t>
      </w:r>
      <w:r w:rsidRPr="00502088">
        <w:rPr>
          <w:rFonts w:eastAsia="Calibri"/>
          <w:lang w:eastAsia="en-US"/>
        </w:rPr>
        <w:t>). Studi peristiwa merupakan bagian dalam konsep pasar efisien (</w:t>
      </w:r>
      <w:r w:rsidRPr="00502088">
        <w:rPr>
          <w:rFonts w:eastAsia="Calibri"/>
          <w:i/>
          <w:lang w:eastAsia="en-US"/>
        </w:rPr>
        <w:t>efficient market hypothesis</w:t>
      </w:r>
      <w:r w:rsidRPr="00502088">
        <w:rPr>
          <w:rFonts w:eastAsia="Calibri"/>
          <w:lang w:eastAsia="en-US"/>
        </w:rPr>
        <w:t xml:space="preserve">) yang dikemukakan oleh Fama (1991). Studi peristiwa merupakan bentuk studi untuk menguji efisiensi pasar bentuk setengah kuat (Tandelilin, 565). </w:t>
      </w:r>
      <w:r w:rsidRPr="00502088">
        <w:rPr>
          <w:rFonts w:eastAsia="Calibri"/>
          <w:lang w:eastAsia="en-US"/>
        </w:rPr>
        <w:cr/>
        <w:t xml:space="preserve">       </w:t>
      </w:r>
      <w:r w:rsidRPr="00502088">
        <w:rPr>
          <w:rFonts w:eastAsia="Calibri"/>
          <w:color w:val="000000"/>
          <w:lang w:val="en-ID" w:eastAsia="en-US"/>
        </w:rPr>
        <w:t xml:space="preserve">    Metode </w:t>
      </w:r>
      <w:r w:rsidRPr="00502088">
        <w:rPr>
          <w:rFonts w:eastAsia="Calibri"/>
          <w:i/>
          <w:color w:val="000000"/>
          <w:lang w:val="en-ID" w:eastAsia="en-US"/>
        </w:rPr>
        <w:t>event studies</w:t>
      </w:r>
      <w:r w:rsidRPr="00502088">
        <w:rPr>
          <w:rFonts w:eastAsia="Calibri"/>
          <w:color w:val="000000"/>
          <w:lang w:val="en-ID" w:eastAsia="en-US"/>
        </w:rPr>
        <w:t xml:space="preserve"> pertama kali dilakukan oleh Dolley (1933) yang meneliti tentang pengaruh pemecahan saham (</w:t>
      </w:r>
      <w:r w:rsidRPr="00502088">
        <w:rPr>
          <w:rFonts w:eastAsia="Calibri"/>
          <w:i/>
          <w:color w:val="000000"/>
          <w:lang w:val="en-ID" w:eastAsia="en-US"/>
        </w:rPr>
        <w:t>stock split</w:t>
      </w:r>
      <w:r w:rsidRPr="00502088">
        <w:rPr>
          <w:rFonts w:eastAsia="Calibri"/>
          <w:color w:val="000000"/>
          <w:lang w:val="en-ID" w:eastAsia="en-US"/>
        </w:rPr>
        <w:t xml:space="preserve">) terhadap harga saham. (Mackinlay, A.Craig, 1977). Selanjutnya beberapa peneliti seperti Myers and Bakay (1948), Barker (1956, 1957, 1958) dan Asley (1962) menggunakan </w:t>
      </w:r>
      <w:r w:rsidRPr="00502088">
        <w:rPr>
          <w:rFonts w:eastAsia="Calibri"/>
          <w:i/>
          <w:color w:val="000000"/>
          <w:lang w:val="en-ID" w:eastAsia="en-US"/>
        </w:rPr>
        <w:t>event study</w:t>
      </w:r>
      <w:r w:rsidRPr="00502088">
        <w:rPr>
          <w:rFonts w:eastAsia="Calibri"/>
          <w:color w:val="000000"/>
          <w:lang w:val="en-ID" w:eastAsia="en-US"/>
        </w:rPr>
        <w:t xml:space="preserve"> sebagai metode dalam penelitiannya. Kemudian Ball and Brown (1968) serta Fama dkk (1969), keduanya mengkhususkan pada penyelidikan pasar </w:t>
      </w:r>
      <w:r w:rsidRPr="00502088">
        <w:rPr>
          <w:rFonts w:eastAsia="Calibri"/>
          <w:i/>
          <w:color w:val="000000"/>
          <w:lang w:val="en-ID" w:eastAsia="en-US"/>
        </w:rPr>
        <w:t>semi strong</w:t>
      </w:r>
      <w:r w:rsidRPr="00502088">
        <w:rPr>
          <w:rFonts w:eastAsia="Calibri"/>
          <w:color w:val="000000"/>
          <w:lang w:val="en-ID" w:eastAsia="en-US"/>
        </w:rPr>
        <w:t>. Dimana pada tahun 1970, Fama menyatakan hipotesis tentang pasar semi strong diubah menjadi “</w:t>
      </w:r>
      <w:r w:rsidRPr="00502088">
        <w:rPr>
          <w:rFonts w:eastAsia="Calibri"/>
          <w:i/>
          <w:color w:val="000000"/>
          <w:lang w:val="en-ID" w:eastAsia="en-US"/>
        </w:rPr>
        <w:t>even studies</w:t>
      </w:r>
      <w:r w:rsidRPr="00502088">
        <w:rPr>
          <w:rFonts w:eastAsia="Calibri"/>
          <w:color w:val="000000"/>
          <w:lang w:val="en-ID" w:eastAsia="en-US"/>
        </w:rPr>
        <w:t>”. (Manurung, 131)</w:t>
      </w:r>
    </w:p>
    <w:p w:rsidR="00502088" w:rsidRPr="00502088" w:rsidRDefault="00502088" w:rsidP="00502088">
      <w:pPr>
        <w:spacing w:line="480" w:lineRule="auto"/>
        <w:contextualSpacing/>
        <w:jc w:val="both"/>
        <w:rPr>
          <w:rFonts w:eastAsia="Calibri"/>
          <w:lang w:eastAsia="en-US"/>
        </w:rPr>
      </w:pPr>
      <w:r w:rsidRPr="00502088">
        <w:rPr>
          <w:rFonts w:eastAsia="Calibri"/>
          <w:lang w:eastAsia="en-US"/>
        </w:rPr>
        <w:t xml:space="preserve">          Banyak peristiwa yang dapat memengaruhi harga saham meskipun memiliki karakteristik yang berbeda. Peristiwa corporate action, seperti split, right issue, waran, saham bonus, saham dividen, dan dividen tunai, mempunyai pengaruh terhadap harga saham tetapi lamban. Peristiwa insidentil, berdampak seketika dan drastic terhadap harga saham. Peristiwa insidentil ini misalnya adanya pergantian Presiden, ledakan bom, peperangan, embargo ekonomi, kenaikan harga minyak mentah dunia. Investor yang berpengalaman akan bertindak cepat mengambil keputusan jual atau beli saham begitu peristiwa serupa terjadi. Ada kemungkinan sebagian saham terkena dampak negative dan sebagian lagi terkena dampak positif. Investor selalu menggunakan tolok ukur “return”. Khusus dalam event studies tolok ukur return yang digunakan adalah “abnormal return”. (Samsul, 274-275) </w:t>
      </w:r>
    </w:p>
    <w:p w:rsidR="00502088" w:rsidRPr="00502088" w:rsidRDefault="00502088" w:rsidP="00502088">
      <w:pPr>
        <w:spacing w:line="480" w:lineRule="auto"/>
        <w:ind w:firstLine="720"/>
        <w:contextualSpacing/>
        <w:jc w:val="both"/>
        <w:rPr>
          <w:rFonts w:eastAsia="Calibri"/>
          <w:lang w:eastAsia="en-US"/>
        </w:rPr>
      </w:pPr>
      <w:r w:rsidRPr="00502088">
        <w:rPr>
          <w:rFonts w:eastAsia="Calibri"/>
          <w:lang w:eastAsia="en-US"/>
        </w:rPr>
        <w:lastRenderedPageBreak/>
        <w:t>Hipotesis pasar efisien memprediksikan bahwa pasar akan merespon secara   positif untuk berita baik, dan sebaliknya akan merespon negatif untuk berita buruk. Semua respon akan tercermin dari return tak normal (</w:t>
      </w:r>
      <w:r w:rsidRPr="00502088">
        <w:rPr>
          <w:rFonts w:eastAsia="Calibri"/>
          <w:i/>
          <w:lang w:eastAsia="en-US"/>
        </w:rPr>
        <w:t>abnormal return</w:t>
      </w:r>
      <w:r w:rsidRPr="00502088">
        <w:rPr>
          <w:rFonts w:eastAsia="Calibri"/>
          <w:lang w:eastAsia="en-US"/>
        </w:rPr>
        <w:t>) positif untuk berita baik dan return tak normal (</w:t>
      </w:r>
      <w:r w:rsidRPr="00502088">
        <w:rPr>
          <w:rFonts w:eastAsia="Calibri"/>
          <w:i/>
          <w:lang w:eastAsia="en-US"/>
        </w:rPr>
        <w:t>abnormal return</w:t>
      </w:r>
      <w:r w:rsidRPr="00502088">
        <w:rPr>
          <w:rFonts w:eastAsia="Calibri"/>
          <w:lang w:eastAsia="en-US"/>
        </w:rPr>
        <w:t>) negatif untuk berita buruk. Reaksi pasar ditunjukkan dengan adanya perubahan perubahan dari sekuritas yang bersangkutan seperti perubahan harga, volume perdagangan saham dan abnormal return (Jogiyanto, 410).</w:t>
      </w:r>
    </w:p>
    <w:p w:rsidR="00502088" w:rsidRPr="00502088" w:rsidRDefault="00502088" w:rsidP="00502088">
      <w:pPr>
        <w:spacing w:line="480" w:lineRule="auto"/>
        <w:ind w:firstLine="720"/>
        <w:contextualSpacing/>
        <w:jc w:val="both"/>
        <w:rPr>
          <w:rFonts w:eastAsia="Calibri"/>
          <w:lang w:eastAsia="en-US"/>
        </w:rPr>
      </w:pPr>
      <w:r w:rsidRPr="00502088">
        <w:rPr>
          <w:rFonts w:eastAsia="Calibri"/>
          <w:i/>
          <w:lang w:eastAsia="en-US"/>
        </w:rPr>
        <w:t>Abnormal return</w:t>
      </w:r>
      <w:r w:rsidRPr="00502088">
        <w:rPr>
          <w:rFonts w:eastAsia="Calibri"/>
          <w:lang w:eastAsia="en-US"/>
        </w:rPr>
        <w:t xml:space="preserve"> adalah selisih antara return aktual dan return yang diharapkan (</w:t>
      </w:r>
      <w:r w:rsidRPr="00502088">
        <w:rPr>
          <w:rFonts w:eastAsia="Calibri"/>
          <w:i/>
          <w:lang w:eastAsia="en-US"/>
        </w:rPr>
        <w:t>expected return</w:t>
      </w:r>
      <w:r w:rsidRPr="00502088">
        <w:rPr>
          <w:rFonts w:eastAsia="Calibri"/>
          <w:lang w:eastAsia="en-US"/>
        </w:rPr>
        <w:t>) yang dapat terjadi sebelum informasi resmi diterbitkan atau terjadi kebocoran informasi (</w:t>
      </w:r>
      <w:r w:rsidRPr="00502088">
        <w:rPr>
          <w:rFonts w:eastAsia="Calibri"/>
          <w:i/>
          <w:lang w:eastAsia="en-US"/>
        </w:rPr>
        <w:t>leakage of information</w:t>
      </w:r>
      <w:r w:rsidRPr="00502088">
        <w:rPr>
          <w:rFonts w:eastAsia="Calibri"/>
          <w:lang w:eastAsia="en-US"/>
        </w:rPr>
        <w:t>) sesudah informasi resmi diterbitkan.</w:t>
      </w:r>
    </w:p>
    <w:p w:rsidR="00502088" w:rsidRPr="00502088" w:rsidRDefault="00502088" w:rsidP="00502088">
      <w:pPr>
        <w:spacing w:line="480" w:lineRule="auto"/>
        <w:ind w:firstLine="720"/>
        <w:contextualSpacing/>
        <w:jc w:val="both"/>
        <w:rPr>
          <w:rFonts w:eastAsia="Calibri"/>
          <w:lang w:eastAsia="en-US"/>
        </w:rPr>
      </w:pPr>
      <w:r w:rsidRPr="00502088">
        <w:rPr>
          <w:rFonts w:eastAsia="Calibri"/>
          <w:lang w:eastAsia="en-US"/>
        </w:rPr>
        <w:t xml:space="preserve">Sedangkan </w:t>
      </w:r>
      <w:r w:rsidRPr="00502088">
        <w:rPr>
          <w:rFonts w:eastAsia="Calibri"/>
          <w:i/>
          <w:lang w:eastAsia="en-US"/>
        </w:rPr>
        <w:t>expected return</w:t>
      </w:r>
      <w:r w:rsidRPr="00502088">
        <w:rPr>
          <w:rFonts w:eastAsia="Calibri"/>
          <w:lang w:eastAsia="en-US"/>
        </w:rPr>
        <w:t xml:space="preserve"> dapat dihitung menggunakan tiga metode yaitu: a) </w:t>
      </w:r>
      <w:r w:rsidRPr="00502088">
        <w:rPr>
          <w:rFonts w:eastAsia="Calibri"/>
          <w:i/>
          <w:lang w:eastAsia="en-US"/>
        </w:rPr>
        <w:t>return</w:t>
      </w:r>
      <w:r w:rsidRPr="00502088">
        <w:rPr>
          <w:rFonts w:eastAsia="Calibri"/>
          <w:lang w:eastAsia="en-US"/>
        </w:rPr>
        <w:t xml:space="preserve"> rata-rata masa lalu, b) </w:t>
      </w:r>
      <w:r w:rsidRPr="00502088">
        <w:rPr>
          <w:rFonts w:eastAsia="Calibri"/>
          <w:i/>
          <w:lang w:eastAsia="en-US"/>
        </w:rPr>
        <w:t>capital assets pricing model</w:t>
      </w:r>
      <w:r w:rsidRPr="00502088">
        <w:rPr>
          <w:rFonts w:eastAsia="Calibri"/>
          <w:lang w:eastAsia="en-US"/>
        </w:rPr>
        <w:t xml:space="preserve"> (CAPM), dan c) </w:t>
      </w:r>
      <w:r w:rsidRPr="00502088">
        <w:rPr>
          <w:rFonts w:eastAsia="Calibri"/>
          <w:i/>
          <w:lang w:eastAsia="en-US"/>
        </w:rPr>
        <w:t>single market model</w:t>
      </w:r>
      <w:r w:rsidRPr="00502088">
        <w:rPr>
          <w:rFonts w:eastAsia="Calibri"/>
          <w:lang w:eastAsia="en-US"/>
        </w:rPr>
        <w:t xml:space="preserve">. Dalam menganalisis dampak suatu peristiwa terhadap harga saham diperlukan batasan waktu sebelum dan sesudah peristiwa disebut sebagai </w:t>
      </w:r>
      <w:r w:rsidRPr="00502088">
        <w:rPr>
          <w:rFonts w:eastAsia="Calibri"/>
          <w:i/>
          <w:lang w:eastAsia="en-US"/>
        </w:rPr>
        <w:t>window period</w:t>
      </w:r>
      <w:r w:rsidRPr="00502088">
        <w:rPr>
          <w:rFonts w:eastAsia="Calibri"/>
          <w:lang w:eastAsia="en-US"/>
        </w:rPr>
        <w:t xml:space="preserve">. Masa waktunya dapat harian, mingguan, atau bulanan. Hal ini digunakan dalam eksperimen untuk mendapatkan model </w:t>
      </w:r>
      <w:r w:rsidRPr="00502088">
        <w:rPr>
          <w:rFonts w:eastAsia="Calibri"/>
          <w:i/>
          <w:lang w:eastAsia="en-US"/>
        </w:rPr>
        <w:t>expected return</w:t>
      </w:r>
      <w:r w:rsidRPr="00502088">
        <w:rPr>
          <w:rFonts w:eastAsia="Calibri"/>
          <w:lang w:eastAsia="en-US"/>
        </w:rPr>
        <w:t xml:space="preserve"> terbaik dan disebut sebagai </w:t>
      </w:r>
      <w:r w:rsidRPr="00502088">
        <w:rPr>
          <w:rFonts w:eastAsia="Calibri"/>
          <w:i/>
          <w:lang w:eastAsia="en-US"/>
        </w:rPr>
        <w:t>estimation period</w:t>
      </w:r>
      <w:r w:rsidRPr="00502088">
        <w:rPr>
          <w:rFonts w:eastAsia="Calibri"/>
          <w:lang w:eastAsia="en-US"/>
        </w:rPr>
        <w:t>. (Samsul, 276)</w:t>
      </w:r>
    </w:p>
    <w:p w:rsidR="00502088" w:rsidRDefault="00502088" w:rsidP="00502088">
      <w:pPr>
        <w:pStyle w:val="ListParagraph"/>
        <w:spacing w:line="480" w:lineRule="auto"/>
        <w:ind w:left="0"/>
        <w:jc w:val="both"/>
        <w:rPr>
          <w:rFonts w:ascii="Times New Roman" w:hAnsi="Times New Roman" w:cs="Times New Roman"/>
          <w:sz w:val="24"/>
          <w:szCs w:val="24"/>
        </w:rPr>
      </w:pPr>
      <w:r w:rsidRPr="00502088">
        <w:rPr>
          <w:rFonts w:ascii="Times New Roman" w:hAnsi="Times New Roman" w:cs="Times New Roman"/>
          <w:sz w:val="24"/>
          <w:szCs w:val="24"/>
        </w:rPr>
        <w:t xml:space="preserve">Jenis abnormal return dapat dikelompokkan menjadi empat yaitu: </w:t>
      </w:r>
      <w:r w:rsidRPr="00502088">
        <w:rPr>
          <w:rFonts w:ascii="Times New Roman" w:hAnsi="Times New Roman" w:cs="Times New Roman"/>
          <w:i/>
          <w:sz w:val="24"/>
          <w:szCs w:val="24"/>
        </w:rPr>
        <w:t>a) abnormal return, b) average abnormal return, c) cummulative abnormal return, d) cummulative average abnormal return</w:t>
      </w:r>
      <w:r>
        <w:rPr>
          <w:rFonts w:ascii="Times New Roman" w:hAnsi="Times New Roman" w:cs="Times New Roman"/>
          <w:sz w:val="24"/>
          <w:szCs w:val="24"/>
        </w:rPr>
        <w:t>. (Samsul, 277)</w:t>
      </w:r>
    </w:p>
    <w:p w:rsidR="00E868C7" w:rsidRDefault="00E868C7" w:rsidP="00A83A8E">
      <w:pPr>
        <w:rPr>
          <w:b/>
          <w:lang w:eastAsia="en-US"/>
        </w:rPr>
      </w:pPr>
    </w:p>
    <w:p w:rsidR="00A83A8E" w:rsidRPr="00443531" w:rsidRDefault="00443531" w:rsidP="00A83A8E">
      <w:pPr>
        <w:rPr>
          <w:b/>
          <w:lang w:eastAsia="en-US"/>
        </w:rPr>
      </w:pPr>
      <w:r w:rsidRPr="00443531">
        <w:rPr>
          <w:b/>
          <w:lang w:eastAsia="en-US"/>
        </w:rPr>
        <w:t>2.6</w:t>
      </w:r>
      <w:r w:rsidR="00953352" w:rsidRPr="00443531">
        <w:rPr>
          <w:b/>
          <w:lang w:eastAsia="en-US"/>
        </w:rPr>
        <w:t>.</w:t>
      </w:r>
      <w:r w:rsidR="00502088">
        <w:rPr>
          <w:b/>
          <w:lang w:eastAsia="en-US"/>
        </w:rPr>
        <w:t>1.</w:t>
      </w:r>
      <w:r w:rsidR="00A83A8E" w:rsidRPr="00443531">
        <w:rPr>
          <w:b/>
          <w:lang w:eastAsia="en-US"/>
        </w:rPr>
        <w:t xml:space="preserve"> Abnormal Return </w:t>
      </w:r>
    </w:p>
    <w:p w:rsidR="00002434" w:rsidRDefault="00A83A8E" w:rsidP="004B7BCA">
      <w:r>
        <w:tab/>
      </w:r>
    </w:p>
    <w:p w:rsidR="00A83A8E" w:rsidRDefault="00B24293" w:rsidP="00C7068F">
      <w:pPr>
        <w:spacing w:line="480" w:lineRule="auto"/>
        <w:ind w:firstLine="720"/>
        <w:jc w:val="both"/>
      </w:pPr>
      <w:r>
        <w:t>A</w:t>
      </w:r>
      <w:r w:rsidR="00A83A8E">
        <w:t>bnormal return merupakan kelebihan dari imbal hasil yang sesungguhnya terjadi (actual return) terhadap imbal hasil normal. Imbal hasil normal merupakan imbal hasil ekspektasi (</w:t>
      </w:r>
      <w:r w:rsidR="00A83A8E" w:rsidRPr="0014195C">
        <w:rPr>
          <w:i/>
          <w:iCs/>
        </w:rPr>
        <w:t>expected return</w:t>
      </w:r>
      <w:r w:rsidR="00A83A8E">
        <w:t xml:space="preserve">) atau imbal hasil yang diharapkan oleh investor. Dengan demikian imbal hasil </w:t>
      </w:r>
      <w:r w:rsidR="00A83A8E">
        <w:lastRenderedPageBreak/>
        <w:t>tidak normal (abnormal return) adalah selisih antara imbal hasil sesungguhnya yang terjadi dengan imbal hasil ekspektasi.</w:t>
      </w:r>
      <w:r>
        <w:t xml:space="preserve"> </w:t>
      </w:r>
      <w:r>
        <w:fldChar w:fldCharType="begin" w:fldLock="1"/>
      </w:r>
      <w:r>
        <w:instrText>ADDIN CSL_CITATION {"citationItems":[{"id":"ITEM-1","itemData":{"ISBN":"978-979-503-596-1","author":[{"dropping-particle":"","family":"Jogiyanto","given":"H.M.","non-dropping-particle":"","parse-names":false,"suffix":""}],"edition":"10th ed","id":"ITEM-1","issued":{"date-parts":[["2015"]]},"publisher":"BPFE Yogyakarta","publisher-place":"Yogyakarta","title":"Teori Portofolio dan Analisis Investasi","type":"book"},"uris":["http://www.mendeley.com/documents/?uuid=2e07d1dd-7c77-4485-b416-8e91da416d52"]}],"mendeley":{"formattedCitation":"(Jogiyanto, 2015)","plainTextFormattedCitation":"(Jogiyanto, 2015)","previouslyFormattedCitation":"(Jogiyanto, 2015)"},"properties":{"noteIndex":0},"schema":"https://github.com/citation-style-language/schema/raw/master/csl-citation.json"}</w:instrText>
      </w:r>
      <w:r>
        <w:fldChar w:fldCharType="separate"/>
      </w:r>
      <w:r w:rsidRPr="0014195C">
        <w:rPr>
          <w:noProof/>
        </w:rPr>
        <w:t>(Jogiyanto, 2015)</w:t>
      </w:r>
      <w:r>
        <w:fldChar w:fldCharType="end"/>
      </w:r>
    </w:p>
    <w:p w:rsidR="00445D68" w:rsidRDefault="00A83A8E" w:rsidP="00C7068F">
      <w:pPr>
        <w:spacing w:line="480" w:lineRule="auto"/>
        <w:jc w:val="both"/>
      </w:pPr>
      <w:r>
        <w:tab/>
      </w:r>
      <w:r w:rsidR="00B24293">
        <w:t>J</w:t>
      </w:r>
      <w:r w:rsidRPr="00F824B3">
        <w:t>ika pengembalian aktual lebih tinggi dari pengembalian yang diharapkan, maka pengembalian abnormal positif.</w:t>
      </w:r>
      <w:r>
        <w:t xml:space="preserve"> </w:t>
      </w:r>
      <w:r w:rsidRPr="00F824B3">
        <w:t>Di sisi lain, jika pengembalian aktual lebih rendah dari pengembalian yang diharapkan, maka pengembalian abnormal negatif.</w:t>
      </w:r>
      <w:r>
        <w:t xml:space="preserve"> </w:t>
      </w:r>
      <w:r w:rsidRPr="00F824B3">
        <w:t xml:space="preserve">Oleh karena itu, sebelum </w:t>
      </w:r>
      <w:r>
        <w:t xml:space="preserve">mengukur </w:t>
      </w:r>
      <w:r w:rsidRPr="00F824B3">
        <w:t xml:space="preserve">pengembalian abnormal, </w:t>
      </w:r>
      <w:r>
        <w:t>peneliti</w:t>
      </w:r>
      <w:r w:rsidRPr="00F824B3">
        <w:t xml:space="preserve"> harus</w:t>
      </w:r>
      <w:r>
        <w:t xml:space="preserve"> </w:t>
      </w:r>
      <w:r w:rsidRPr="00F824B3">
        <w:t>memperkirakan pengembalian yang diharapkan</w:t>
      </w:r>
      <w:r>
        <w:t xml:space="preserve"> (</w:t>
      </w:r>
      <w:r w:rsidRPr="00F824B3">
        <w:rPr>
          <w:i/>
          <w:iCs/>
        </w:rPr>
        <w:t>Expected Return</w:t>
      </w:r>
      <w:r>
        <w:t>)</w:t>
      </w:r>
      <w:r w:rsidRPr="00F824B3">
        <w:t>.</w:t>
      </w:r>
      <w:r w:rsidR="00B24293">
        <w:t xml:space="preserve"> </w:t>
      </w:r>
      <w:r w:rsidR="00B24293">
        <w:fldChar w:fldCharType="begin" w:fldLock="1"/>
      </w:r>
      <w:r w:rsidR="00B24293">
        <w:instrText>ADDIN CSL_CITATION {"citationItems":[{"id":"ITEM-1","itemData":{"DOI":"10.1108/jeas-05-2015-0014","ISSN":"1026-4116","abstract":"Purpose This paper compares the performance and volatility of the Toronto Stock Exchange in Canada and the Karachi Stock Exchange in Pakistan, as well as the sensitivities of the two stock exchanges to major global events. The purpose of this paper is to assist the Pakistani immigrants in Canada in their investment decisions. Design/methodology/approach This paper uses the generalized autoregressive conditional heteroskedasticity model to estimate volatility of the two stock exchanges. Moreover, the mean adjusted returns approach associated with the event study methodology is used to find out the impact of major global events on these stock exchanges. Findings The study finds that the Toronto Stock Exchange outperforms the Karachi Stock Exchange in the pre-September 11 attack period, while the latter outperforms the former in the post-September 11 attack period. The study also shows that there has been a significant improvement in the risk-adjusted return of the Karachi Stock Exchange in the post-Septembe...","author":[{"dropping-particle":"","family":"Yeung","given":"Wing Him","non-dropping-particle":"","parse-names":false,"suffix":""},{"dropping-particle":"","family":"Aman","given":"Asad","non-dropping-particle":"","parse-names":false,"suffix":""}],"container-title":"Journal of Economic and Administrative Sciences","id":"ITEM-1","issue":"2","issued":{"date-parts":[["2016"]]},"page":"102-119","title":"Sensitivity of stock indices to global events: the perspective for Pakistani Canadians","type":"article-journal","volume":"32"},"uris":["http://www.mendeley.com/documents/?uuid=20ef7bdf-a924-4db8-ab46-c1275d43b0ee"]}],"mendeley":{"formattedCitation":"(Yeung &amp; Aman, 2016)","plainTextFormattedCitation":"(Yeung &amp; Aman, 2016)","previouslyFormattedCitation":"(Yeung &amp; Aman, 2016)"},"properties":{"noteIndex":0},"schema":"https://github.com/citation-style-language/schema/raw/master/csl-citation.json"}</w:instrText>
      </w:r>
      <w:r w:rsidR="00B24293">
        <w:fldChar w:fldCharType="separate"/>
      </w:r>
      <w:r w:rsidR="00B24293" w:rsidRPr="00B34512">
        <w:rPr>
          <w:noProof/>
        </w:rPr>
        <w:t>(Yeung &amp; Aman, 2016)</w:t>
      </w:r>
      <w:r w:rsidR="00B24293">
        <w:fldChar w:fldCharType="end"/>
      </w:r>
    </w:p>
    <w:p w:rsidR="00A83A8E" w:rsidRPr="001A7A33" w:rsidRDefault="00A83A8E" w:rsidP="00C7068F">
      <w:pPr>
        <w:spacing w:line="480" w:lineRule="auto"/>
        <w:ind w:firstLine="720"/>
        <w:jc w:val="both"/>
      </w:pPr>
      <w:r w:rsidRPr="001A7A33">
        <w:rPr>
          <w:lang w:val="es-ES"/>
        </w:rPr>
        <w:t>Pengembalian abnormal diukur sebagai perbedaan antara pengembalian aktual harian dan pengembalian rata-rata periode estimasi untuk setiap perusahaan</w:t>
      </w:r>
      <w:r>
        <w:rPr>
          <w:lang w:val="es-ES"/>
        </w:rPr>
        <w:t xml:space="preserve"> </w:t>
      </w:r>
      <w:r>
        <w:rPr>
          <w:lang w:val="es-ES"/>
        </w:rPr>
        <w:fldChar w:fldCharType="begin" w:fldLock="1"/>
      </w:r>
      <w:r>
        <w:rPr>
          <w:lang w:val="es-ES"/>
        </w:rPr>
        <w:instrText>ADDIN CSL_CITATION {"citationItems":[{"id":"ITEM-1","itemData":{"DOI":"10.1108/sajgbr-06-2014-0039","ISSN":"2045-4457","author":[{"dropping-particle":"","family":"Sharif","given":"Saqib","non-dropping-particle":"","parse-names":false,"suffix":""}],"container-title":"South Asian Journal of Global Business Research","id":"ITEM-1","issue":"2","issued":{"date-parts":[["2015"]]},"page":"275-291","title":"Market reaction to the Karachi stock exchange floor imposition","type":"article-journal","volume":"4"},"uris":["http://www.mendeley.com/documents/?uuid=851eae4d-5db4-4369-a066-7b957925aa82"]}],"mendeley":{"formattedCitation":"(Sharif, 2015)","plainTextFormattedCitation":"(Sharif, 2015)","previouslyFormattedCitation":"(Sharif, 2015)"},"properties":{"noteIndex":0},"schema":"https://github.com/citation-style-language/schema/raw/master/csl-citation.json"}</w:instrText>
      </w:r>
      <w:r>
        <w:rPr>
          <w:lang w:val="es-ES"/>
        </w:rPr>
        <w:fldChar w:fldCharType="separate"/>
      </w:r>
      <w:r w:rsidRPr="00193138">
        <w:rPr>
          <w:noProof/>
          <w:lang w:val="es-ES"/>
        </w:rPr>
        <w:t>(Sharif, 2015)</w:t>
      </w:r>
      <w:r>
        <w:rPr>
          <w:lang w:val="es-ES"/>
        </w:rPr>
        <w:fldChar w:fldCharType="end"/>
      </w:r>
      <w:r w:rsidRPr="001A7A33">
        <w:rPr>
          <w:lang w:val="es-ES"/>
        </w:rPr>
        <w:t>.</w:t>
      </w:r>
    </w:p>
    <w:p w:rsidR="00A83A8E" w:rsidRDefault="00A83A8E" w:rsidP="00A83A8E">
      <w:pPr>
        <w:ind w:firstLine="202"/>
        <w:jc w:val="both"/>
      </w:pPr>
    </w:p>
    <w:p w:rsidR="00A83A8E" w:rsidRDefault="00A83A8E" w:rsidP="00A83A8E">
      <w:pPr>
        <w:ind w:firstLine="360"/>
        <w:jc w:val="both"/>
        <w:rPr>
          <w:sz w:val="23"/>
          <w:szCs w:val="23"/>
        </w:rPr>
      </w:pPr>
      <w:r>
        <w:rPr>
          <w:b/>
          <w:bCs/>
        </w:rPr>
        <w:t>H1</w:t>
      </w:r>
      <w:r>
        <w:t xml:space="preserve">: </w:t>
      </w:r>
      <w:r w:rsidRPr="00B7378B">
        <w:rPr>
          <w:lang w:val="en-ID"/>
        </w:rPr>
        <w:t xml:space="preserve">Ada perbedaan dalam pengembalian saham abnormal antara periode sebelum kenaikan </w:t>
      </w:r>
      <w:r w:rsidR="00867176">
        <w:rPr>
          <w:lang w:val="en-ID"/>
        </w:rPr>
        <w:t>bea</w:t>
      </w:r>
      <w:r w:rsidR="00461F2F">
        <w:rPr>
          <w:lang w:val="en-ID"/>
        </w:rPr>
        <w:t xml:space="preserve"> masuk</w:t>
      </w:r>
      <w:r w:rsidRPr="00B7378B">
        <w:rPr>
          <w:lang w:val="en-ID"/>
        </w:rPr>
        <w:t xml:space="preserve"> Impor </w:t>
      </w:r>
      <w:r w:rsidR="00461F2F">
        <w:rPr>
          <w:lang w:val="en-ID"/>
        </w:rPr>
        <w:t xml:space="preserve">dan pandemic covid-19 </w:t>
      </w:r>
      <w:r w:rsidRPr="00B7378B">
        <w:rPr>
          <w:lang w:val="en-ID"/>
        </w:rPr>
        <w:t>d</w:t>
      </w:r>
      <w:r w:rsidR="00461F2F">
        <w:rPr>
          <w:lang w:val="en-ID"/>
        </w:rPr>
        <w:t>engan</w:t>
      </w:r>
      <w:r w:rsidRPr="00B7378B">
        <w:rPr>
          <w:lang w:val="en-ID"/>
        </w:rPr>
        <w:t xml:space="preserve"> sesudah kenaikan </w:t>
      </w:r>
      <w:r w:rsidR="00867176">
        <w:rPr>
          <w:lang w:val="en-ID"/>
        </w:rPr>
        <w:t>bea</w:t>
      </w:r>
      <w:r w:rsidR="00461F2F">
        <w:rPr>
          <w:lang w:val="en-ID"/>
        </w:rPr>
        <w:t xml:space="preserve"> masuk </w:t>
      </w:r>
      <w:r w:rsidRPr="00B7378B">
        <w:rPr>
          <w:lang w:val="en-ID"/>
        </w:rPr>
        <w:t>Impor</w:t>
      </w:r>
      <w:r w:rsidR="00461F2F">
        <w:rPr>
          <w:lang w:val="en-ID"/>
        </w:rPr>
        <w:t xml:space="preserve"> dan pandemic covid-19</w:t>
      </w:r>
      <w:r>
        <w:rPr>
          <w:lang w:val="en-ID"/>
        </w:rPr>
        <w:t>.</w:t>
      </w:r>
    </w:p>
    <w:p w:rsidR="00A83A8E" w:rsidRDefault="00A83A8E" w:rsidP="00A83A8E"/>
    <w:p w:rsidR="00607781" w:rsidRDefault="00607781" w:rsidP="00A83A8E"/>
    <w:p w:rsidR="00A83A8E" w:rsidRPr="00607781" w:rsidRDefault="00A83A8E" w:rsidP="00A83A8E">
      <w:pPr>
        <w:rPr>
          <w:b/>
        </w:rPr>
      </w:pPr>
      <w:r w:rsidRPr="00607781">
        <w:rPr>
          <w:b/>
        </w:rPr>
        <w:t>2.</w:t>
      </w:r>
      <w:r w:rsidR="00502088">
        <w:rPr>
          <w:b/>
        </w:rPr>
        <w:t>6.2</w:t>
      </w:r>
      <w:r w:rsidR="00607781" w:rsidRPr="00607781">
        <w:rPr>
          <w:b/>
        </w:rPr>
        <w:t>.</w:t>
      </w:r>
      <w:r w:rsidRPr="00607781">
        <w:rPr>
          <w:b/>
        </w:rPr>
        <w:t xml:space="preserve"> Volume Perdagangan Saham </w:t>
      </w:r>
    </w:p>
    <w:p w:rsidR="00002434" w:rsidRDefault="00A83A8E" w:rsidP="004B7BCA">
      <w:r>
        <w:tab/>
      </w:r>
    </w:p>
    <w:p w:rsidR="00445D68" w:rsidRDefault="00A83A8E" w:rsidP="00C71940">
      <w:pPr>
        <w:spacing w:line="480" w:lineRule="auto"/>
        <w:ind w:firstLine="720"/>
        <w:jc w:val="both"/>
      </w:pPr>
      <w:r>
        <w:t xml:space="preserve">Volume perdagangan saham merupakan banyaknya lembar saham yang diperdagangkan dalam satu hari perdagangan. Ditinjau dari fungsinya, maka dapat dikatakan bahwa TVA merupakan suatu variasi dari </w:t>
      </w:r>
      <w:r w:rsidRPr="0014195C">
        <w:rPr>
          <w:i/>
          <w:iCs/>
        </w:rPr>
        <w:t>event study</w:t>
      </w:r>
      <w:r>
        <w:t xml:space="preserve">. Pendekatan trading volume </w:t>
      </w:r>
      <w:r w:rsidRPr="0014195C">
        <w:rPr>
          <w:i/>
          <w:iCs/>
        </w:rPr>
        <w:t>activity</w:t>
      </w:r>
      <w:r>
        <w:t xml:space="preserve"> ini dapat digunakan untuk menguji hipotesis pasar efisien bentuk lemah (</w:t>
      </w:r>
      <w:r w:rsidRPr="0014195C">
        <w:rPr>
          <w:i/>
          <w:iCs/>
        </w:rPr>
        <w:t>weak form efficiency</w:t>
      </w:r>
      <w:r>
        <w:t>) karena pada pasar yang belum efisien atau efisien dalam bentuk lemah, perubahan harga belum dengan segera mencerminkan informasi yang ada sehingga peneliti hanya dapat mengamati reaksi pasar modal melalui pergerakan volume perdagangan pada pasar modal.</w:t>
      </w:r>
    </w:p>
    <w:p w:rsidR="00A83A8E" w:rsidRDefault="00445D68" w:rsidP="00C71940">
      <w:pPr>
        <w:spacing w:line="480" w:lineRule="auto"/>
        <w:ind w:firstLine="720"/>
        <w:jc w:val="both"/>
      </w:pPr>
      <w:r>
        <w:t>V</w:t>
      </w:r>
      <w:r w:rsidR="00A83A8E">
        <w:t xml:space="preserve">olume perdagangan saham adalah aktivitas perdagangan saham yang terjadi pada waktu tertentu yang diperoleh dengan membandingkan atau membagi antara saham yang diperdagangkan dengan saham yang beredar di bursa efek. Perubahan volume perdagangan saham di pasar modal </w:t>
      </w:r>
      <w:r w:rsidR="00A83A8E">
        <w:lastRenderedPageBreak/>
        <w:t xml:space="preserve">menunjukkan aktivitas perdagangan saham di bursa dan mencerminkan keputusan investasi investor. Aktivitas volume perdagangan ini digunakan untuk melihat apakah investor individual menilai pengumuman tersebut informatif. Sehingga dapat dikatakan informasi tersebut dapat memengaruhi suatu investasi. Perhitungan aktivitas volume perdagangan dilakukan dengan membandingkan jumlah saham perusahaan yang diperdagangkan dalam suatu periode tertentu dengan keseluruhan jumlah saham yang beredar perusahaan tersebut dalam kurun waktu yang sama. </w:t>
      </w:r>
      <w:r>
        <w:fldChar w:fldCharType="begin" w:fldLock="1"/>
      </w:r>
      <w:r>
        <w:instrText>ADDIN CSL_CITATION {"citationItems":[{"id":"ITEM-1","itemData":{"DOI":"10.20885/jsb.vol12.iss1.art3","ISSN":"08537666","abstract":"The objective of this research is to test the impact of stock return, stock trading volume and variance of stock return toward bid-ask spread. Using sampling of 20 manufacture companies which are united in LQ 45 index during the period of 2003 until 2005. The compilation of data is done in Jakarta Stock Exchange corner UII, and Indonesian Capital Market Directory (ICMD). The analysis is done with multiple linear regression method, regretted classical assumption examined, f- test and t –test. The result shows that the hypothesis of stock return are rejected, in this result shows that stock return have a positive significant impact toward bid-ask spread while the hypothesis of stock trading volume and variance of stock return are accepted, in this result shows that stock trading volume has a negative significant impact toward bid-ask spread and variance of stock return has a positive significant impact toward bid-ask spread. While as it simultaneously show that stock return, stock trading volume, and variance of stock return have significantly impact toward bid-ask spread and variance of stock return have dominant impact.","author":[{"dropping-particle":"","family":"Ambarwati","given":"Sri Dwi Ari","non-dropping-particle":"","parse-names":false,"suffix":""}],"container-title":"Jurnal Siasat Bisnis","id":"ITEM-1","issue":"1","issued":{"date-parts":[["2008"]]},"page":"27-38","title":"Pengaruh Return Saham, Volume Perdagangan Saham Dan Varian Return Saham Terhadap Bid Ask Spread Saham Pada Perusahaan Manufaktur Yang Tergabung Dalam Indeks Lq 45 Periode Tahun 2003-2005","type":"article-journal","volume":"12"},"uris":["http://www.mendeley.com/documents/?uuid=d2fa5bfd-d29c-4936-b5df-c59677d201b0"]}],"mendeley":{"formattedCitation":"(Ambarwati, 2008)","plainTextFormattedCitation":"(Ambarwati, 2008)","previouslyFormattedCitation":"(Ambarwati, 2008)"},"properties":{"noteIndex":0},"schema":"https://github.com/citation-style-language/schema/raw/master/csl-citation.json"}</w:instrText>
      </w:r>
      <w:r>
        <w:fldChar w:fldCharType="separate"/>
      </w:r>
      <w:r w:rsidRPr="0014195C">
        <w:rPr>
          <w:noProof/>
        </w:rPr>
        <w:t>(Ambarwati, 2008)</w:t>
      </w:r>
      <w:r>
        <w:fldChar w:fldCharType="end"/>
      </w:r>
    </w:p>
    <w:p w:rsidR="00A83A8E" w:rsidRDefault="00A83A8E" w:rsidP="00C71940">
      <w:pPr>
        <w:spacing w:line="480" w:lineRule="auto"/>
        <w:ind w:firstLine="270"/>
        <w:jc w:val="both"/>
      </w:pPr>
    </w:p>
    <w:p w:rsidR="00A83A8E" w:rsidRPr="001A7A33" w:rsidRDefault="00A83A8E" w:rsidP="00C71940">
      <w:pPr>
        <w:spacing w:line="480" w:lineRule="auto"/>
        <w:ind w:firstLine="720"/>
        <w:jc w:val="both"/>
      </w:pPr>
      <w:r w:rsidRPr="001A7A33">
        <w:t>Volume abnormal diukur sebagai rasio volume perdagangan harian perusahaan terhadap volume rata-rata periode estimasi dikurangi dari 1</w:t>
      </w:r>
      <w:r>
        <w:t xml:space="preserve"> </w:t>
      </w:r>
      <w:r>
        <w:fldChar w:fldCharType="begin" w:fldLock="1"/>
      </w:r>
      <w:r>
        <w:instrText>ADDIN CSL_CITATION {"citationItems":[{"id":"ITEM-1","itemData":{"DOI":"10.1108/sajgbr-06-2014-0039","ISSN":"2045-4457","author":[{"dropping-particle":"","family":"Sharif","given":"Saqib","non-dropping-particle":"","parse-names":false,"suffix":""}],"container-title":"South Asian Journal of Global Business Research","id":"ITEM-1","issue":"2","issued":{"date-parts":[["2015"]]},"page":"275-291","title":"Market reaction to the Karachi stock exchange floor imposition","type":"article-journal","volume":"4"},"uris":["http://www.mendeley.com/documents/?uuid=851eae4d-5db4-4369-a066-7b957925aa82"]}],"mendeley":{"formattedCitation":"(Sharif, 2015)","plainTextFormattedCitation":"(Sharif, 2015)","previouslyFormattedCitation":"(Sharif, 2015)"},"properties":{"noteIndex":0},"schema":"https://github.com/citation-style-language/schema/raw/master/csl-citation.json"}</w:instrText>
      </w:r>
      <w:r>
        <w:fldChar w:fldCharType="separate"/>
      </w:r>
      <w:r w:rsidRPr="00193138">
        <w:rPr>
          <w:noProof/>
        </w:rPr>
        <w:t>(Sharif, 2015)</w:t>
      </w:r>
      <w:r>
        <w:fldChar w:fldCharType="end"/>
      </w:r>
      <w:r>
        <w:t>.</w:t>
      </w:r>
    </w:p>
    <w:p w:rsidR="00A83A8E" w:rsidRDefault="00A83A8E" w:rsidP="00A83A8E">
      <w:pPr>
        <w:jc w:val="both"/>
      </w:pPr>
    </w:p>
    <w:p w:rsidR="00A83A8E" w:rsidRDefault="00A83A8E" w:rsidP="00A83A8E">
      <w:pPr>
        <w:jc w:val="both"/>
      </w:pPr>
      <w:r>
        <w:rPr>
          <w:b/>
          <w:bCs/>
        </w:rPr>
        <w:t>H2A</w:t>
      </w:r>
      <w:r>
        <w:t xml:space="preserve">: </w:t>
      </w:r>
      <w:r w:rsidRPr="00B7378B">
        <w:rPr>
          <w:lang w:val="en-ID"/>
        </w:rPr>
        <w:t xml:space="preserve">Volume perdagangan saham yang abnormal meningkat pada periode </w:t>
      </w:r>
      <w:r>
        <w:rPr>
          <w:lang w:val="en-ID"/>
        </w:rPr>
        <w:t>setelah</w:t>
      </w:r>
      <w:r w:rsidRPr="00B7378B">
        <w:rPr>
          <w:lang w:val="en-ID"/>
        </w:rPr>
        <w:t xml:space="preserve"> kenaikan </w:t>
      </w:r>
      <w:r w:rsidR="00867176">
        <w:rPr>
          <w:lang w:val="en-ID"/>
        </w:rPr>
        <w:t>bea</w:t>
      </w:r>
      <w:r w:rsidRPr="00B7378B">
        <w:rPr>
          <w:lang w:val="en-ID"/>
        </w:rPr>
        <w:t xml:space="preserve"> masuk impor </w:t>
      </w:r>
      <w:r w:rsidR="00461F2F">
        <w:rPr>
          <w:lang w:val="en-ID"/>
        </w:rPr>
        <w:t xml:space="preserve">dan pandemic covid-19 </w:t>
      </w:r>
      <w:r w:rsidRPr="00B7378B">
        <w:rPr>
          <w:lang w:val="en-ID"/>
        </w:rPr>
        <w:t xml:space="preserve">dibandingkan dengan periode </w:t>
      </w:r>
      <w:r>
        <w:rPr>
          <w:lang w:val="en-ID"/>
        </w:rPr>
        <w:t>sebelum</w:t>
      </w:r>
      <w:r w:rsidRPr="00B7378B">
        <w:rPr>
          <w:lang w:val="en-ID"/>
        </w:rPr>
        <w:t xml:space="preserve"> kenaikan </w:t>
      </w:r>
      <w:r w:rsidR="00867176">
        <w:rPr>
          <w:lang w:val="en-ID"/>
        </w:rPr>
        <w:t>bea</w:t>
      </w:r>
      <w:r w:rsidRPr="00B7378B">
        <w:rPr>
          <w:lang w:val="en-ID"/>
        </w:rPr>
        <w:t xml:space="preserve"> masuk impor</w:t>
      </w:r>
      <w:r w:rsidR="00461F2F">
        <w:rPr>
          <w:lang w:val="en-ID"/>
        </w:rPr>
        <w:t xml:space="preserve"> dan pandemic covid-19</w:t>
      </w:r>
      <w:r>
        <w:t>.</w:t>
      </w:r>
    </w:p>
    <w:p w:rsidR="00A83A8E" w:rsidRDefault="00A83A8E" w:rsidP="00A83A8E"/>
    <w:p w:rsidR="00607781" w:rsidRDefault="00607781" w:rsidP="00A83A8E"/>
    <w:p w:rsidR="00A83A8E" w:rsidRPr="00607781" w:rsidRDefault="00A83A8E" w:rsidP="00A83A8E">
      <w:pPr>
        <w:rPr>
          <w:b/>
        </w:rPr>
      </w:pPr>
      <w:r w:rsidRPr="00607781">
        <w:rPr>
          <w:b/>
        </w:rPr>
        <w:t>2.</w:t>
      </w:r>
      <w:r w:rsidR="00502088">
        <w:rPr>
          <w:b/>
        </w:rPr>
        <w:t>6.3</w:t>
      </w:r>
      <w:r w:rsidR="00607781" w:rsidRPr="00607781">
        <w:rPr>
          <w:b/>
        </w:rPr>
        <w:t>.</w:t>
      </w:r>
      <w:r w:rsidR="00BC5CB5">
        <w:rPr>
          <w:b/>
        </w:rPr>
        <w:t xml:space="preserve"> Bid Ask Sprea</w:t>
      </w:r>
      <w:r w:rsidRPr="00607781">
        <w:rPr>
          <w:b/>
        </w:rPr>
        <w:t xml:space="preserve">d </w:t>
      </w:r>
    </w:p>
    <w:p w:rsidR="00002434" w:rsidRDefault="00A83A8E" w:rsidP="004B7BCA">
      <w:pPr>
        <w:jc w:val="both"/>
      </w:pPr>
      <w:r>
        <w:tab/>
      </w:r>
    </w:p>
    <w:p w:rsidR="00A83A8E" w:rsidRPr="0014195C" w:rsidRDefault="00445D68" w:rsidP="00607781">
      <w:pPr>
        <w:spacing w:line="480" w:lineRule="auto"/>
        <w:ind w:firstLine="720"/>
        <w:jc w:val="both"/>
      </w:pPr>
      <w:r>
        <w:t>B</w:t>
      </w:r>
      <w:r w:rsidR="00A83A8E">
        <w:t xml:space="preserve">id-ask spread sebagai </w:t>
      </w:r>
      <w:r w:rsidR="00A83A8E">
        <w:rPr>
          <w:lang w:val="id-ID"/>
        </w:rPr>
        <w:t>perbedaan</w:t>
      </w:r>
      <w:r w:rsidR="00A83A8E" w:rsidRPr="00BC5A22">
        <w:t xml:space="preserve"> </w:t>
      </w:r>
      <w:r w:rsidR="00A83A8E">
        <w:rPr>
          <w:lang w:val="id-ID"/>
        </w:rPr>
        <w:t>jumlah saham yang bersedia di beli pada harga tinggi dengan jumlah harga saham yang bersedia di jual di harga terendah.</w:t>
      </w:r>
      <w:r w:rsidR="00472269">
        <w:t xml:space="preserve"> (Hull, 2012, p. 792)</w:t>
      </w:r>
    </w:p>
    <w:p w:rsidR="00A83A8E" w:rsidRDefault="00A83A8E" w:rsidP="00C71940">
      <w:pPr>
        <w:spacing w:line="480" w:lineRule="auto"/>
        <w:ind w:firstLine="720"/>
        <w:jc w:val="both"/>
      </w:pPr>
      <w:r>
        <w:rPr>
          <w:lang w:val="id-ID"/>
        </w:rPr>
        <w:t xml:space="preserve">Dalam perubahan </w:t>
      </w:r>
      <w:r>
        <w:t>h</w:t>
      </w:r>
      <w:r w:rsidRPr="0014195C">
        <w:t xml:space="preserve">arga saham dibursa </w:t>
      </w:r>
      <w:r>
        <w:rPr>
          <w:lang w:val="id-ID"/>
        </w:rPr>
        <w:t xml:space="preserve">terjadi karena </w:t>
      </w:r>
      <w:r w:rsidRPr="0014195C">
        <w:t xml:space="preserve">tawar menawar dan kekuatan pasar. Transaksi terjadi hanya tergantung dari penawaran dan permintaan. </w:t>
      </w:r>
      <w:r>
        <w:rPr>
          <w:lang w:val="id-ID"/>
        </w:rPr>
        <w:t xml:space="preserve">Harga saham dengan tren naik dapat memberika return yang cukup baik menunjukan saham tersebut diminati investor. </w:t>
      </w:r>
      <w:r>
        <w:fldChar w:fldCharType="begin" w:fldLock="1"/>
      </w:r>
      <w:r>
        <w:instrText>ADDIN CSL_CITATION {"citationItems":[{"id":"ITEM-1","itemData":{"ISSN":"1411-6227","abstract":"This study aimed to examine the effect of trading volume and return to the bid-ask spread pharmaceutical industry shares listed on the JSE during 2003. This study uses regression analysis techniques. The results showed that the only variable return that proved false. However, for variable trading volume proved the absence of forgery.","author":[{"dropping-particle":"","family":"Gunawan","given":"Barbara","non-dropping-particle":"","parse-names":false,"suffix":""}],"container-title":"Jurnal Akuntansi dan Investasi","id":"ITEM-1","issue":"1","issued":{"date-parts":[["2005"]]},"page":"147-167","title":"Pengaruh Volume Perdagangan dan Return terhadap Bid-Ask Spread dengan Model Koreksi Kesalahan (Studi Empiris Saham Industri Farmasi di Bursa Efek Jakarta)","type":"article-journal","volume":"6"},"uris":["http://www.mendeley.com/documents/?uuid=4432572b-4261-4854-b3cb-99d766775a74"]}],"mendeley":{"formattedCitation":"(Gunawan, 2005)","plainTextFormattedCitation":"(Gunawan, 2005)","previouslyFormattedCitation":"(Gunawan, 2005)"},"properties":{"noteIndex":0},"schema":"https://github.com/citation-style-language/schema/raw/master/csl-citation.json"}</w:instrText>
      </w:r>
      <w:r>
        <w:fldChar w:fldCharType="separate"/>
      </w:r>
      <w:r w:rsidRPr="0014195C">
        <w:rPr>
          <w:noProof/>
        </w:rPr>
        <w:t>(Gunawan, 2005)</w:t>
      </w:r>
      <w:r>
        <w:fldChar w:fldCharType="end"/>
      </w:r>
      <w:r w:rsidRPr="0014195C">
        <w:t>.</w:t>
      </w:r>
    </w:p>
    <w:p w:rsidR="00A83A8E" w:rsidRDefault="00A83A8E" w:rsidP="00C71940">
      <w:pPr>
        <w:spacing w:line="480" w:lineRule="auto"/>
        <w:ind w:firstLine="720"/>
        <w:jc w:val="both"/>
      </w:pPr>
      <w:r w:rsidRPr="0014195C">
        <w:rPr>
          <w:i/>
          <w:iCs/>
        </w:rPr>
        <w:t>Spread</w:t>
      </w:r>
      <w:r w:rsidRPr="001A7A33">
        <w:t xml:space="preserve"> (atau </w:t>
      </w:r>
      <w:r w:rsidRPr="0014195C">
        <w:rPr>
          <w:i/>
          <w:iCs/>
        </w:rPr>
        <w:t>spread bid-ask</w:t>
      </w:r>
      <w:r w:rsidRPr="001A7A33">
        <w:t xml:space="preserve"> relatif) </w:t>
      </w:r>
      <w:r>
        <w:rPr>
          <w:lang w:val="id-ID"/>
        </w:rPr>
        <w:t xml:space="preserve">dapat </w:t>
      </w:r>
      <w:r w:rsidRPr="001A7A33">
        <w:t>dihitung</w:t>
      </w:r>
      <w:r>
        <w:rPr>
          <w:lang w:val="id-ID"/>
        </w:rPr>
        <w:t xml:space="preserve"> dari jumlah setiap perbedaan</w:t>
      </w:r>
      <w:r>
        <w:t xml:space="preserve"> </w:t>
      </w:r>
      <w:r w:rsidRPr="001A7A33">
        <w:t>harga permintaan dan penawaran dibagi dengan rata-rata harga penawaran dan harga permintaan setiap hari</w:t>
      </w:r>
      <w:r>
        <w:t xml:space="preserve"> </w:t>
      </w:r>
      <w:r>
        <w:fldChar w:fldCharType="begin" w:fldLock="1"/>
      </w:r>
      <w:r>
        <w:instrText>ADDIN CSL_CITATION {"citationItems":[{"id":"ITEM-1","itemData":{"DOI":"10.1108/sajgbr-06-2014-0039","ISSN":"2045-4457","author":[{"dropping-particle":"","family":"Sharif","given":"Saqib","non-dropping-particle":"","parse-names":false,"suffix":""}],"container-title":"South Asian Journal of Global Business Research","id":"ITEM-1","issue":"2","issued":{"date-parts":[["2015"]]},"page":"275-291","title":"Market reaction to the Karachi stock exchange floor imposition","type":"article-journal","volume":"4"},"uris":["http://www.mendeley.com/documents/?uuid=851eae4d-5db4-4369-a066-7b957925aa82"]}],"mendeley":{"formattedCitation":"(Sharif, 2015)","plainTextFormattedCitation":"(Sharif, 2015)","previouslyFormattedCitation":"(Sharif, 2015)"},"properties":{"noteIndex":0},"schema":"https://github.com/citation-style-language/schema/raw/master/csl-citation.json"}</w:instrText>
      </w:r>
      <w:r>
        <w:fldChar w:fldCharType="separate"/>
      </w:r>
      <w:r w:rsidRPr="00193138">
        <w:rPr>
          <w:noProof/>
        </w:rPr>
        <w:t>(Sharif, 2015)</w:t>
      </w:r>
      <w:r>
        <w:fldChar w:fldCharType="end"/>
      </w:r>
      <w:r>
        <w:t>.</w:t>
      </w:r>
    </w:p>
    <w:p w:rsidR="00A83A8E" w:rsidRDefault="00A83A8E" w:rsidP="00E868C7">
      <w:pPr>
        <w:spacing w:line="480" w:lineRule="auto"/>
        <w:ind w:firstLine="720"/>
        <w:jc w:val="both"/>
      </w:pPr>
      <w:r>
        <w:lastRenderedPageBreak/>
        <w:t>Masuknya suatu informasi dapat mempengaruhi perdagangan, tidak semua investor memiliki informasi yang sama. Hal ini mengakibatkan terjadinya proses jual beli dan mengakibatkan likuiditas saham terganggu.</w:t>
      </w:r>
    </w:p>
    <w:p w:rsidR="00A83A8E" w:rsidRDefault="00472269" w:rsidP="00C71940">
      <w:pPr>
        <w:spacing w:line="480" w:lineRule="auto"/>
        <w:ind w:firstLine="720"/>
        <w:jc w:val="both"/>
      </w:pPr>
      <w:r>
        <w:t>P</w:t>
      </w:r>
      <w:r w:rsidR="00A83A8E">
        <w:t>edagang likuiditas dan pedagang informasi.</w:t>
      </w:r>
      <w:r w:rsidR="00A83A8E">
        <w:rPr>
          <w:lang w:val="id-ID"/>
        </w:rPr>
        <w:t xml:space="preserve"> </w:t>
      </w:r>
      <w:r w:rsidR="00A83A8E">
        <w:t>Pedagang yang diinformasikan berdagang karena mereka memiliki informasi pribadi yang tidak tercermin dalam harga,</w:t>
      </w:r>
      <w:r w:rsidR="00A83A8E">
        <w:rPr>
          <w:lang w:val="id-ID"/>
        </w:rPr>
        <w:t xml:space="preserve"> </w:t>
      </w:r>
      <w:r w:rsidR="00A83A8E">
        <w:t>sedangkan pedagang likuiditas berdagang dengan alas</w:t>
      </w:r>
      <w:r>
        <w:t xml:space="preserve">an selain informasi yang unggul. </w:t>
      </w:r>
      <w:r>
        <w:fldChar w:fldCharType="begin" w:fldLock="1"/>
      </w:r>
      <w:r>
        <w:instrText>ADDIN CSL_CITATION {"citationItems":[{"id":"ITEM-1","itemData":{"DOI":"10.1016/0304-405X(85)90044-3","ISSN":"0304405X","abstract":"The presence of traders with superior information leads to a positive bid-ask spread even when the specialist is risk-neutral and makes zero expected profits. The resulting transaction prices convey information, and the expectation of the average spread squared times volume is bounded by a number that is independent of insider activity. The serial correlation of transaction price differences is a function of the proportion of the spread due to adverse selection. A bid-ask spread implies a divergence between observed returns and realizable returns. Observed returns are approximately realizable returns plus what the uninformed anticipate losing to the insiders. © 1985.","author":[{"dropping-particle":"","family":"Glosten","given":"Lawrence R.","non-dropping-particle":"","parse-names":false,"suffix":""},{"dropping-particle":"","family":"Milgrom","given":"Paul R.","non-dropping-particle":"","parse-names":false,"suffix":""}],"container-title":"Journal of Financial Economics","id":"ITEM-1","issue":"1","issued":{"date-parts":[["1985"]]},"page":"71-100","title":"Bid, ask and transaction prices in a specialist market with heterogeneously informed traders","type":"article-journal","volume":"14"},"uris":["http://www.mendeley.com/documents/?uuid=e1687b40-21de-44e0-895d-5ed8d402637d"]}],"mendeley":{"formattedCitation":"(Glosten &amp; Milgrom, 1985)","plainTextFormattedCitation":"(Glosten &amp; Milgrom, 1985)"},"properties":{"noteIndex":0},"schema":"https://github.com/citation-style-language/schema/raw/master/csl-citation.json"}</w:instrText>
      </w:r>
      <w:r>
        <w:fldChar w:fldCharType="separate"/>
      </w:r>
      <w:r w:rsidRPr="00CE7475">
        <w:rPr>
          <w:noProof/>
        </w:rPr>
        <w:t>(Glosten &amp; Milgrom, 1985)</w:t>
      </w:r>
      <w:r>
        <w:fldChar w:fldCharType="end"/>
      </w:r>
    </w:p>
    <w:p w:rsidR="00A83A8E" w:rsidRPr="001A7A33" w:rsidRDefault="00A83A8E" w:rsidP="00443531">
      <w:pPr>
        <w:spacing w:line="480" w:lineRule="auto"/>
        <w:ind w:firstLine="720"/>
        <w:jc w:val="both"/>
      </w:pPr>
      <w:r>
        <w:t>Pelaku pasar memiliki kemampuan yang berbeda dalam memproses</w:t>
      </w:r>
      <w:r>
        <w:rPr>
          <w:lang w:val="id-ID"/>
        </w:rPr>
        <w:t xml:space="preserve"> </w:t>
      </w:r>
      <w:r>
        <w:t>informasi tentang kinerja perusahaan dan akibatnya membuat pasar</w:t>
      </w:r>
      <w:r>
        <w:rPr>
          <w:lang w:val="id-ID"/>
        </w:rPr>
        <w:t xml:space="preserve"> </w:t>
      </w:r>
      <w:r>
        <w:t xml:space="preserve">tidak dapat mengidentifikasi jenis pedagang (diinformasikan atau tidak diinformasikan) yang dihadapinya </w:t>
      </w:r>
      <w:r>
        <w:fldChar w:fldCharType="begin" w:fldLock="1"/>
      </w:r>
      <w:r>
        <w:instrText>ADDIN CSL_CITATION {"citationItems":[{"id":"ITEM-1","itemData":{"DOI":"10.1016/0165-4101(94)90004-3","ISSN":"01654101","abstract":"This paper suggests that earnings announcements provide information that allows certain traders to make judgements about a firm's performance that are superior to the judgements of other traders. As a result, there may be more information asymmetry at the time of an announcement than in nonannouncement periods. More information asymmetry implies that bid-ask spreads increase, suggesting that market liquidity decreases at the time of an earnings announcement. Furthermore, informed opinions resulting from public disclosure may lead to an increase in trading volume, despite the reduction in liquidity that accompanies announcements. © 1994.","author":[{"dropping-particle":"","family":"Kim","given":"Oliver","non-dropping-particle":"","parse-names":false,"suffix":""},{"dropping-particle":"","family":"Verrecchia","given":"Robert E.","non-dropping-particle":"","parse-names":false,"suffix":""}],"container-title":"Journal of Accounting and Economics","id":"ITEM-1","issue":"1-2","issued":{"date-parts":[["1994"]]},"page":"41-67","title":"Market liquidity and volume around earnings announcements","type":"article-journal","volume":"17"},"uris":["http://www.mendeley.com/documents/?uuid=5fbec94b-cd89-4d10-a47f-8dd9bd2ab35a"]}],"mendeley":{"formattedCitation":"(Kim &amp; Verrecchia, 1994)","plainTextFormattedCitation":"(Kim &amp; Verrecchia, 1994)","previouslyFormattedCitation":"(Kim &amp; Verrecchia, 1994)"},"properties":{"noteIndex":0},"schema":"https://github.com/citation-style-language/schema/raw/master/csl-citation.json"}</w:instrText>
      </w:r>
      <w:r>
        <w:fldChar w:fldCharType="separate"/>
      </w:r>
      <w:r w:rsidRPr="00CE7475">
        <w:rPr>
          <w:noProof/>
        </w:rPr>
        <w:t>(Kim &amp; Verrecchia, 1994)</w:t>
      </w:r>
      <w:r>
        <w:fldChar w:fldCharType="end"/>
      </w:r>
      <w:r>
        <w:t>.</w:t>
      </w:r>
    </w:p>
    <w:p w:rsidR="00A83A8E" w:rsidRDefault="00A83A8E" w:rsidP="00A83A8E">
      <w:pPr>
        <w:jc w:val="both"/>
      </w:pPr>
    </w:p>
    <w:p w:rsidR="00A83A8E" w:rsidRDefault="00A83A8E" w:rsidP="00A83A8E">
      <w:pPr>
        <w:jc w:val="both"/>
      </w:pPr>
      <w:r>
        <w:rPr>
          <w:b/>
          <w:bCs/>
        </w:rPr>
        <w:t>H2B</w:t>
      </w:r>
      <w:r>
        <w:t xml:space="preserve">: </w:t>
      </w:r>
      <w:r w:rsidRPr="0014195C">
        <w:rPr>
          <w:i/>
          <w:iCs/>
          <w:lang w:val="en-ID"/>
        </w:rPr>
        <w:t>Bid-ask spread</w:t>
      </w:r>
      <w:r w:rsidRPr="00B7378B">
        <w:rPr>
          <w:lang w:val="en-ID"/>
        </w:rPr>
        <w:t xml:space="preserve"> saham meningkat pada periode </w:t>
      </w:r>
      <w:r>
        <w:rPr>
          <w:lang w:val="en-ID"/>
        </w:rPr>
        <w:t>setelah</w:t>
      </w:r>
      <w:r w:rsidRPr="00B7378B">
        <w:rPr>
          <w:lang w:val="en-ID"/>
        </w:rPr>
        <w:t xml:space="preserve"> kenaikan </w:t>
      </w:r>
      <w:r w:rsidR="00867176">
        <w:rPr>
          <w:lang w:val="en-ID"/>
        </w:rPr>
        <w:t>bea</w:t>
      </w:r>
      <w:r w:rsidRPr="00B7378B">
        <w:rPr>
          <w:lang w:val="en-ID"/>
        </w:rPr>
        <w:t xml:space="preserve"> masuk impor </w:t>
      </w:r>
      <w:r w:rsidR="00461F2F">
        <w:rPr>
          <w:lang w:val="en-ID"/>
        </w:rPr>
        <w:t xml:space="preserve">dan pandemic covid-19 </w:t>
      </w:r>
      <w:r w:rsidRPr="00B7378B">
        <w:rPr>
          <w:lang w:val="en-ID"/>
        </w:rPr>
        <w:t xml:space="preserve">dibandingkan dengan periode </w:t>
      </w:r>
      <w:r>
        <w:rPr>
          <w:lang w:val="en-ID"/>
        </w:rPr>
        <w:t>sebelum</w:t>
      </w:r>
      <w:r w:rsidRPr="00B7378B">
        <w:rPr>
          <w:lang w:val="en-ID"/>
        </w:rPr>
        <w:t xml:space="preserve"> kenaikan </w:t>
      </w:r>
      <w:r w:rsidR="00867176">
        <w:rPr>
          <w:lang w:val="en-ID"/>
        </w:rPr>
        <w:t>bea</w:t>
      </w:r>
      <w:r w:rsidRPr="00B7378B">
        <w:rPr>
          <w:lang w:val="en-ID"/>
        </w:rPr>
        <w:t xml:space="preserve"> masuk impor</w:t>
      </w:r>
      <w:r w:rsidR="00461F2F">
        <w:rPr>
          <w:lang w:val="en-ID"/>
        </w:rPr>
        <w:t xml:space="preserve"> dan pandemic covid-19</w:t>
      </w:r>
      <w:r>
        <w:t>.</w:t>
      </w:r>
    </w:p>
    <w:p w:rsidR="00A83A8E" w:rsidRDefault="00A83A8E" w:rsidP="00A83A8E">
      <w:pPr>
        <w:jc w:val="both"/>
      </w:pPr>
    </w:p>
    <w:p w:rsidR="00BC5CB5" w:rsidRPr="00BC5CB5" w:rsidRDefault="00BC5CB5" w:rsidP="00BC5CB5">
      <w:pPr>
        <w:spacing w:line="480" w:lineRule="auto"/>
        <w:jc w:val="both"/>
        <w:rPr>
          <w:rFonts w:eastAsia="Times New Roman"/>
          <w:b/>
          <w:color w:val="000000"/>
        </w:rPr>
      </w:pPr>
      <w:r w:rsidRPr="00BC5CB5">
        <w:rPr>
          <w:rFonts w:eastAsia="Times New Roman"/>
          <w:b/>
          <w:color w:val="000000"/>
        </w:rPr>
        <w:t>2.6.4. Volatilitas</w:t>
      </w:r>
    </w:p>
    <w:p w:rsidR="00A83A8E" w:rsidRDefault="00A83A8E" w:rsidP="00C71940">
      <w:pPr>
        <w:spacing w:line="480" w:lineRule="auto"/>
        <w:ind w:firstLine="720"/>
        <w:jc w:val="both"/>
        <w:rPr>
          <w:rFonts w:eastAsia="Times New Roman"/>
          <w:color w:val="000000"/>
        </w:rPr>
      </w:pPr>
      <w:r>
        <w:rPr>
          <w:rFonts w:eastAsia="Times New Roman"/>
          <w:color w:val="000000"/>
        </w:rPr>
        <w:t xml:space="preserve">Volatilitas harga saham adalah ukuran yang digunakan untuk melihat risiko yang mewakili tingkat perubahan harga saham sekuritas selama waktu tertentu: semakin besar volatilitas, semakin besar peluang keuntungan atau kerugian yang bisa diterima investor dalam jangka pendek </w:t>
      </w:r>
      <w:r>
        <w:rPr>
          <w:rFonts w:eastAsia="Times New Roman"/>
          <w:color w:val="000000"/>
        </w:rPr>
        <w:fldChar w:fldCharType="begin" w:fldLock="1"/>
      </w:r>
      <w:r>
        <w:rPr>
          <w:rFonts w:eastAsia="Times New Roman"/>
          <w:color w:val="000000"/>
        </w:rPr>
        <w:instrText>ADDIN CSL_CITATION {"citationItems":[{"id":"ITEM-1","itemData":{"DOI":"10.1108/15265941111100076","ISSN":"09657967","abstract":"Purpose – The purpose of this paper is to examine the relation between dividend policy and share price changes in the UK stock market. Design/methodology/approach – Multiple regression analyses are used to explore the association between share price changes and both dividend yield and dividend payout ratio. Findings – A positive relation is found between dividend yield and stock price changes, and a negative relation between dividend payout ratio and stock price changes. In addition, it is shown that a firm's growth rate, debt level, size and earnings explain stock price changes. Practical implications – The paper supports the fact that dividend policy is relevant in determining share price changes for a sample of firms listed in the London Stock Exchange. Originality/value – To the best of the authors' knowledge, this paper is the first to show that corporate dividend policy is a key driver of stock price changes in the UK.","author":[{"dropping-particle":"","family":"Hussainey","given":"Khaled .etc","non-dropping-particle":"","parse-names":false,"suffix":""}],"container-title":"Journal of Risk Finance","id":"ITEM-1","issue":"1","issued":{"date-parts":[["2011"]]},"page":"57-68","title":"Dividend policy and share price volatility: UK evidence","type":"article-journal","volume":"12"},"uris":["http://www.mendeley.com/documents/?uuid=e8573c4b-6b2a-4fda-806a-d983e7c12c00"]}],"mendeley":{"formattedCitation":"(Hussainey, 2011)","plainTextFormattedCitation":"(Hussainey, 2011)","previouslyFormattedCitation":"(Hussainey, 2011)"},"properties":{"noteIndex":0},"schema":"https://github.com/citation-style-language/schema/raw/master/csl-citation.json"}</w:instrText>
      </w:r>
      <w:r>
        <w:rPr>
          <w:rFonts w:eastAsia="Times New Roman"/>
          <w:color w:val="000000"/>
        </w:rPr>
        <w:fldChar w:fldCharType="separate"/>
      </w:r>
      <w:r>
        <w:rPr>
          <w:rFonts w:eastAsia="Times New Roman"/>
          <w:noProof/>
          <w:color w:val="000000"/>
        </w:rPr>
        <w:t>(Hussainey, 2011)</w:t>
      </w:r>
      <w:r>
        <w:rPr>
          <w:rFonts w:eastAsia="Times New Roman"/>
          <w:color w:val="000000"/>
        </w:rPr>
        <w:fldChar w:fldCharType="end"/>
      </w:r>
      <w:r>
        <w:rPr>
          <w:rFonts w:eastAsia="Times New Roman"/>
          <w:color w:val="000000"/>
        </w:rPr>
        <w:t xml:space="preserve">. </w:t>
      </w:r>
    </w:p>
    <w:p w:rsidR="00A83A8E" w:rsidRPr="00443531" w:rsidRDefault="00C71940" w:rsidP="00443531">
      <w:pPr>
        <w:spacing w:line="480" w:lineRule="auto"/>
        <w:ind w:firstLine="720"/>
        <w:jc w:val="both"/>
        <w:rPr>
          <w:rFonts w:eastAsia="Times New Roman"/>
          <w:color w:val="000000"/>
        </w:rPr>
      </w:pPr>
      <w:r>
        <w:rPr>
          <w:rFonts w:eastAsia="Times New Roman"/>
          <w:color w:val="000000"/>
        </w:rPr>
        <w:t>V</w:t>
      </w:r>
      <w:r w:rsidRPr="003A6104">
        <w:rPr>
          <w:rFonts w:eastAsia="Times New Roman"/>
          <w:color w:val="000000"/>
        </w:rPr>
        <w:t xml:space="preserve">olatilitas harga menunjukkan </w:t>
      </w:r>
      <w:r>
        <w:rPr>
          <w:rFonts w:eastAsia="Times New Roman"/>
          <w:color w:val="000000"/>
          <w:lang w:val="id-ID"/>
        </w:rPr>
        <w:t xml:space="preserve">terjadinya </w:t>
      </w:r>
      <w:r w:rsidRPr="006E22CC">
        <w:rPr>
          <w:rFonts w:eastAsia="Times New Roman"/>
          <w:i/>
          <w:color w:val="000000"/>
          <w:lang w:val="id-ID"/>
        </w:rPr>
        <w:t>supply</w:t>
      </w:r>
      <w:r>
        <w:rPr>
          <w:rFonts w:eastAsia="Times New Roman"/>
          <w:color w:val="000000"/>
          <w:lang w:val="id-ID"/>
        </w:rPr>
        <w:t xml:space="preserve"> dan </w:t>
      </w:r>
      <w:r w:rsidRPr="006E22CC">
        <w:rPr>
          <w:rFonts w:eastAsia="Times New Roman"/>
          <w:i/>
          <w:color w:val="000000"/>
          <w:lang w:val="id-ID"/>
        </w:rPr>
        <w:t>demand</w:t>
      </w:r>
      <w:r>
        <w:rPr>
          <w:rFonts w:eastAsia="Times New Roman"/>
          <w:color w:val="000000"/>
          <w:lang w:val="id-ID"/>
        </w:rPr>
        <w:t xml:space="preserve"> yang dapat membuat </w:t>
      </w:r>
      <w:r w:rsidRPr="006E22CC">
        <w:rPr>
          <w:rFonts w:eastAsia="Times New Roman"/>
          <w:i/>
          <w:color w:val="000000"/>
        </w:rPr>
        <w:t>volume</w:t>
      </w:r>
      <w:r>
        <w:rPr>
          <w:rFonts w:eastAsia="Times New Roman"/>
          <w:color w:val="000000"/>
        </w:rPr>
        <w:t xml:space="preserve"> </w:t>
      </w:r>
      <w:r w:rsidRPr="003A6104">
        <w:rPr>
          <w:rFonts w:eastAsia="Times New Roman"/>
          <w:color w:val="000000"/>
        </w:rPr>
        <w:t>perubahan nilai saham</w:t>
      </w:r>
      <w:r>
        <w:rPr>
          <w:rFonts w:eastAsia="Times New Roman"/>
          <w:color w:val="000000"/>
        </w:rPr>
        <w:t xml:space="preserve"> </w:t>
      </w:r>
      <w:r>
        <w:rPr>
          <w:rFonts w:eastAsia="Times New Roman"/>
          <w:color w:val="000000"/>
        </w:rPr>
        <w:fldChar w:fldCharType="begin" w:fldLock="1"/>
      </w:r>
      <w:r>
        <w:rPr>
          <w:rFonts w:eastAsia="Times New Roman"/>
          <w:color w:val="000000"/>
        </w:rPr>
        <w:instrText>ADDIN CSL_CITATION {"citationItems":[{"id":"ITEM-1","itemData":{"abstract":"The aim of this paper is to investigate the influence of the dividend policy on the share price volatility for the Jordanian industrial firms. All the 77 Jordanian industrial firms listed at Amman Stock Exchange for twelve years from 2000 to 2011 have been selected. Descriptive analysis, correlation analysis and a cross-sectional time series multiple least square regression method have been used to present data analysis, test hypotheses, and achieve the objective of the study. The experiential results showed significant negative effect of the two components of the dividend policy D_Y and D_P, on the share price volatility, indicating that as the Jordanian industrial firms increase their dividend yield and/or dividend payout, the stock prices tend to stability, as the price volatility fall, and thus, the share price risks fall. Moreover, the results conclude that the dividend policy has an impact on the price volatility, and that the managers of the Jordanian industrial firms have the ability to affect their firm's share price by adapting dividend policy that suits their target investors. Moreover, the study suggests that duration effect theory and signaling theory are relevant in determining the share price volatility in the Jordanian equity market. Key","author":[{"dropping-particle":"","family":"Ramadan","given":"Imad Zeyad","non-dropping-particle":"","parse-names":false,"suffix":""}],"container-title":"International Journal of Academic Research in Accounting, Finance and Management Sciences","id":"ITEM-1","issue":"2","issued":{"date-parts":[["2013"]]},"page":"15-22","title":"Dividend Policy and Price Volatility . Empirical Evidence from Jordan","type":"article-journal","volume":"3"},"uris":["http://www.mendeley.com/documents/?uuid=55bb8f13-3a06-4354-ba60-cd4e6b6f9108"]}],"mendeley":{"formattedCitation":"(Ramadan, 2013)","plainTextFormattedCitation":"(Ramadan, 2013)","previouslyFormattedCitation":"(Ramadan, 2013)"},"properties":{"noteIndex":0},"schema":"https://github.com/citation-style-language/schema/raw/master/csl-citation.json"}</w:instrText>
      </w:r>
      <w:r>
        <w:rPr>
          <w:rFonts w:eastAsia="Times New Roman"/>
          <w:color w:val="000000"/>
        </w:rPr>
        <w:fldChar w:fldCharType="separate"/>
      </w:r>
      <w:r w:rsidRPr="003A6104">
        <w:rPr>
          <w:rFonts w:eastAsia="Times New Roman"/>
          <w:noProof/>
          <w:color w:val="000000"/>
        </w:rPr>
        <w:t>(Ramadan, 2013)</w:t>
      </w:r>
      <w:r>
        <w:rPr>
          <w:rFonts w:eastAsia="Times New Roman"/>
          <w:color w:val="000000"/>
        </w:rPr>
        <w:fldChar w:fldCharType="end"/>
      </w:r>
      <w:r w:rsidRPr="003A6104">
        <w:rPr>
          <w:rFonts w:eastAsia="Times New Roman"/>
          <w:color w:val="000000"/>
        </w:rPr>
        <w:t>. Volatilitas harga</w:t>
      </w:r>
      <w:r>
        <w:rPr>
          <w:rFonts w:eastAsia="Times New Roman"/>
          <w:color w:val="000000"/>
          <w:lang w:val="id-ID"/>
        </w:rPr>
        <w:t xml:space="preserve"> saham</w:t>
      </w:r>
      <w:r>
        <w:rPr>
          <w:rFonts w:eastAsia="Times New Roman"/>
          <w:color w:val="000000"/>
        </w:rPr>
        <w:t xml:space="preserve"> </w:t>
      </w:r>
      <w:r w:rsidRPr="003A6104">
        <w:rPr>
          <w:rFonts w:eastAsia="Times New Roman"/>
          <w:color w:val="000000"/>
        </w:rPr>
        <w:t>menunjukkan bahwa nilai saham</w:t>
      </w:r>
      <w:r>
        <w:rPr>
          <w:rFonts w:eastAsia="Times New Roman"/>
          <w:color w:val="000000"/>
        </w:rPr>
        <w:t xml:space="preserve"> dapat berubah secara cepat</w:t>
      </w:r>
      <w:r w:rsidRPr="003A6104">
        <w:rPr>
          <w:rFonts w:eastAsia="Times New Roman"/>
          <w:color w:val="000000"/>
        </w:rPr>
        <w:t xml:space="preserve"> dalam waktu</w:t>
      </w:r>
      <w:r>
        <w:rPr>
          <w:rFonts w:eastAsia="Times New Roman"/>
          <w:color w:val="000000"/>
        </w:rPr>
        <w:t xml:space="preserve"> yang</w:t>
      </w:r>
      <w:r w:rsidRPr="003A6104">
        <w:rPr>
          <w:rFonts w:eastAsia="Times New Roman"/>
          <w:color w:val="000000"/>
        </w:rPr>
        <w:t xml:space="preserve"> singkat</w:t>
      </w:r>
      <w:r>
        <w:rPr>
          <w:rFonts w:eastAsia="Times New Roman"/>
          <w:color w:val="000000"/>
        </w:rPr>
        <w:t>, pergerakan bisa menunjukkan hasil yang tinggi atau rendah</w:t>
      </w:r>
      <w:r w:rsidRPr="003A6104">
        <w:rPr>
          <w:rFonts w:eastAsia="Times New Roman"/>
          <w:color w:val="000000"/>
        </w:rPr>
        <w:t>.</w:t>
      </w:r>
      <w:r>
        <w:rPr>
          <w:rFonts w:eastAsia="Times New Roman"/>
          <w:color w:val="000000"/>
        </w:rPr>
        <w:t xml:space="preserve"> Keuntungan bisa diperoleh investor jika harga saham bervolatilitas diatas harga beli, namun jika harga bervolatilitas dibawah harga beli maka akan menimbulkan kerugian bagi investor. Volatilitas yang tinggi dapat menunjukkan risiko yang besar dalam </w:t>
      </w:r>
      <w:r>
        <w:rPr>
          <w:rFonts w:eastAsia="Times New Roman"/>
          <w:color w:val="000000"/>
          <w:lang w:val="id-ID"/>
        </w:rPr>
        <w:t xml:space="preserve">jangka pendek </w:t>
      </w:r>
      <w:r>
        <w:rPr>
          <w:rFonts w:eastAsia="Times New Roman"/>
          <w:color w:val="000000"/>
        </w:rPr>
        <w:t xml:space="preserve">sehingga investor akan berperan aktif dalam kegiatan jual beli di pasar. Volatilitas yang rendah </w:t>
      </w:r>
      <w:r>
        <w:rPr>
          <w:rFonts w:eastAsia="Times New Roman"/>
          <w:color w:val="000000"/>
        </w:rPr>
        <w:lastRenderedPageBreak/>
        <w:t xml:space="preserve">dapat menunjukkan kestabilan perusahaan, namun hanya sedikit keuntungan yang bisa didapatkan oleh investor. </w:t>
      </w:r>
      <w:r w:rsidRPr="001A7A33">
        <w:t>Volatilitas dihitung untuk setiap saham sebagai perbedaan harga tinggi dan rendah dibagi dengan rata-rata harga tinggi dan rendah</w:t>
      </w:r>
      <w:r>
        <w:t xml:space="preserve"> </w:t>
      </w:r>
      <w:r>
        <w:fldChar w:fldCharType="begin" w:fldLock="1"/>
      </w:r>
      <w:r>
        <w:instrText>ADDIN CSL_CITATION {"citationItems":[{"id":"ITEM-1","itemData":{"DOI":"10.1108/sajgbr-06-2014-0039","ISSN":"2045-4457","author":[{"dropping-particle":"","family":"Sharif","given":"Saqib","non-dropping-particle":"","parse-names":false,"suffix":""}],"container-title":"South Asian Journal of Global Business Research","id":"ITEM-1","issue":"2","issued":{"date-parts":[["2015"]]},"page":"275-291","title":"Market reaction to the Karachi stock exchange floor imposition","type":"article-journal","volume":"4"},"uris":["http://www.mendeley.com/documents/?uuid=851eae4d-5db4-4369-a066-7b957925aa82"]}],"mendeley":{"formattedCitation":"(Sharif, 2015)","plainTextFormattedCitation":"(Sharif, 2015)","previouslyFormattedCitation":"(Sharif, 2015)"},"properties":{"noteIndex":0},"schema":"https://github.com/citation-style-language/schema/raw/master/csl-citation.json"}</w:instrText>
      </w:r>
      <w:r>
        <w:fldChar w:fldCharType="separate"/>
      </w:r>
      <w:r w:rsidRPr="00193138">
        <w:rPr>
          <w:noProof/>
        </w:rPr>
        <w:t>(Sharif, 2015)</w:t>
      </w:r>
      <w:r>
        <w:fldChar w:fldCharType="end"/>
      </w:r>
      <w:r>
        <w:t>.</w:t>
      </w:r>
    </w:p>
    <w:p w:rsidR="00A83A8E" w:rsidRDefault="008C37A9" w:rsidP="00A83A8E">
      <w:pPr>
        <w:jc w:val="both"/>
      </w:pPr>
      <w:r>
        <w:rPr>
          <w:b/>
          <w:bCs/>
        </w:rPr>
        <w:t>H3</w:t>
      </w:r>
      <w:r w:rsidR="00A83A8E">
        <w:t xml:space="preserve">: </w:t>
      </w:r>
      <w:r w:rsidR="00A83A8E" w:rsidRPr="00B7378B">
        <w:rPr>
          <w:lang w:val="en-ID"/>
        </w:rPr>
        <w:t xml:space="preserve">Volatilitas harga saham meningkat pada periode </w:t>
      </w:r>
      <w:r w:rsidR="00A83A8E">
        <w:rPr>
          <w:lang w:val="en-ID"/>
        </w:rPr>
        <w:t>setelah</w:t>
      </w:r>
      <w:r w:rsidR="00A83A8E" w:rsidRPr="00B7378B">
        <w:rPr>
          <w:lang w:val="en-ID"/>
        </w:rPr>
        <w:t xml:space="preserve"> kenaikan </w:t>
      </w:r>
      <w:r w:rsidR="00867176">
        <w:rPr>
          <w:lang w:val="en-ID"/>
        </w:rPr>
        <w:t>bea</w:t>
      </w:r>
      <w:r w:rsidR="00A83A8E" w:rsidRPr="00B7378B">
        <w:rPr>
          <w:lang w:val="en-ID"/>
        </w:rPr>
        <w:t xml:space="preserve"> masuk impor </w:t>
      </w:r>
      <w:r w:rsidR="00461F2F">
        <w:rPr>
          <w:lang w:val="en-ID"/>
        </w:rPr>
        <w:t xml:space="preserve">dan pandemic covid-19 </w:t>
      </w:r>
      <w:r w:rsidR="00A83A8E" w:rsidRPr="00B7378B">
        <w:rPr>
          <w:lang w:val="en-ID"/>
        </w:rPr>
        <w:t xml:space="preserve">dibandingkan dengan periode </w:t>
      </w:r>
      <w:r w:rsidR="00A83A8E">
        <w:rPr>
          <w:lang w:val="en-ID"/>
        </w:rPr>
        <w:t>sebelum</w:t>
      </w:r>
      <w:r w:rsidR="00A83A8E" w:rsidRPr="00B7378B">
        <w:rPr>
          <w:lang w:val="en-ID"/>
        </w:rPr>
        <w:t xml:space="preserve"> kenaikan </w:t>
      </w:r>
      <w:r w:rsidR="00867176">
        <w:rPr>
          <w:lang w:val="en-ID"/>
        </w:rPr>
        <w:t>bea</w:t>
      </w:r>
      <w:r w:rsidR="00A83A8E" w:rsidRPr="00B7378B">
        <w:rPr>
          <w:lang w:val="en-ID"/>
        </w:rPr>
        <w:t xml:space="preserve"> masuk impor</w:t>
      </w:r>
      <w:r w:rsidR="00461F2F">
        <w:rPr>
          <w:lang w:val="en-ID"/>
        </w:rPr>
        <w:t xml:space="preserve"> dan pandemic covid-19</w:t>
      </w:r>
      <w:r w:rsidR="00A83A8E">
        <w:t>.</w:t>
      </w:r>
    </w:p>
    <w:p w:rsidR="00BC5CB5" w:rsidRDefault="00BC5CB5" w:rsidP="00A83A8E">
      <w:pPr>
        <w:jc w:val="both"/>
      </w:pPr>
    </w:p>
    <w:p w:rsidR="00BC5CB5" w:rsidRPr="00BC5CB5" w:rsidRDefault="00BC5CB5" w:rsidP="00A83A8E">
      <w:pPr>
        <w:jc w:val="both"/>
        <w:rPr>
          <w:b/>
        </w:rPr>
      </w:pPr>
      <w:r w:rsidRPr="00BC5CB5">
        <w:rPr>
          <w:b/>
        </w:rPr>
        <w:t>2.7. Rerangka Penelitian</w:t>
      </w:r>
    </w:p>
    <w:p w:rsidR="00461F2F" w:rsidRDefault="00461F2F" w:rsidP="00A83A8E">
      <w:pPr>
        <w:jc w:val="both"/>
      </w:pPr>
    </w:p>
    <w:p w:rsidR="00461F2F" w:rsidRDefault="00461F2F" w:rsidP="00A83A8E">
      <w:pPr>
        <w:jc w:val="both"/>
      </w:pPr>
      <w:r>
        <w:rPr>
          <w:noProof/>
          <w:lang w:val="id-ID" w:eastAsia="id-ID"/>
        </w:rPr>
        <w:drawing>
          <wp:inline distT="0" distB="0" distL="0" distR="0" wp14:anchorId="3BAAE492" wp14:editId="260F8849">
            <wp:extent cx="5924550" cy="39052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83A8E" w:rsidRDefault="00A83A8E" w:rsidP="00A83A8E">
      <w:pPr>
        <w:jc w:val="both"/>
      </w:pPr>
    </w:p>
    <w:p w:rsidR="00A83A8E" w:rsidRPr="00A7096C" w:rsidRDefault="00A83A8E" w:rsidP="00A83A8E">
      <w:pPr>
        <w:jc w:val="center"/>
      </w:pPr>
      <w:r>
        <w:rPr>
          <w:rFonts w:eastAsia="Times New Roman"/>
          <w:b/>
          <w:color w:val="000000"/>
          <w:sz w:val="22"/>
          <w:szCs w:val="22"/>
        </w:rPr>
        <w:t>Gambar 1.</w:t>
      </w:r>
      <w:r>
        <w:rPr>
          <w:rFonts w:eastAsia="Times New Roman"/>
          <w:color w:val="000000"/>
          <w:sz w:val="22"/>
          <w:szCs w:val="22"/>
        </w:rPr>
        <w:t xml:space="preserve"> Model Penelitian</w:t>
      </w:r>
    </w:p>
    <w:p w:rsidR="00607781" w:rsidRDefault="00607781" w:rsidP="00216681">
      <w:pPr>
        <w:pStyle w:val="Heading1"/>
        <w:numPr>
          <w:ilvl w:val="0"/>
          <w:numId w:val="6"/>
        </w:numPr>
        <w:tabs>
          <w:tab w:val="left" w:pos="720"/>
        </w:tabs>
        <w:jc w:val="left"/>
        <w:rPr>
          <w:b/>
          <w:bCs/>
          <w:sz w:val="24"/>
          <w:szCs w:val="24"/>
        </w:rPr>
      </w:pPr>
      <w:r>
        <w:rPr>
          <w:b/>
          <w:bCs/>
          <w:sz w:val="24"/>
          <w:szCs w:val="24"/>
        </w:rPr>
        <w:br w:type="page"/>
      </w:r>
    </w:p>
    <w:p w:rsidR="005E57E2" w:rsidRDefault="005E57E2" w:rsidP="005E57E2">
      <w:pPr>
        <w:pStyle w:val="Heading1"/>
        <w:numPr>
          <w:ilvl w:val="0"/>
          <w:numId w:val="0"/>
        </w:numPr>
        <w:tabs>
          <w:tab w:val="left" w:pos="720"/>
        </w:tabs>
        <w:rPr>
          <w:b/>
          <w:bCs/>
          <w:sz w:val="24"/>
          <w:szCs w:val="24"/>
        </w:rPr>
      </w:pPr>
      <w:r>
        <w:rPr>
          <w:b/>
          <w:bCs/>
          <w:sz w:val="24"/>
          <w:szCs w:val="24"/>
        </w:rPr>
        <w:lastRenderedPageBreak/>
        <w:t xml:space="preserve">BAB III  </w:t>
      </w:r>
    </w:p>
    <w:p w:rsidR="00A83A8E" w:rsidRDefault="005E57E2" w:rsidP="005E57E2">
      <w:pPr>
        <w:pStyle w:val="Heading1"/>
        <w:numPr>
          <w:ilvl w:val="0"/>
          <w:numId w:val="0"/>
        </w:numPr>
        <w:tabs>
          <w:tab w:val="left" w:pos="720"/>
        </w:tabs>
        <w:rPr>
          <w:b/>
          <w:bCs/>
          <w:sz w:val="24"/>
          <w:szCs w:val="24"/>
        </w:rPr>
      </w:pPr>
      <w:r>
        <w:rPr>
          <w:b/>
          <w:bCs/>
          <w:sz w:val="24"/>
          <w:szCs w:val="24"/>
        </w:rPr>
        <w:t>METODOLOGI PENELITIAN</w:t>
      </w:r>
    </w:p>
    <w:p w:rsidR="00A83A8E" w:rsidRDefault="00A83A8E" w:rsidP="00A83A8E">
      <w:pPr>
        <w:widowControl w:val="0"/>
        <w:ind w:firstLine="202"/>
        <w:jc w:val="both"/>
        <w:rPr>
          <w:rFonts w:eastAsia="Times New Roman"/>
          <w:color w:val="000000"/>
          <w:sz w:val="22"/>
          <w:szCs w:val="22"/>
        </w:rPr>
      </w:pPr>
    </w:p>
    <w:p w:rsidR="00BC5CB5" w:rsidRPr="00BC5CB5" w:rsidRDefault="00BC5CB5" w:rsidP="00BC5CB5">
      <w:pPr>
        <w:widowControl w:val="0"/>
        <w:spacing w:line="480" w:lineRule="auto"/>
        <w:jc w:val="both"/>
        <w:rPr>
          <w:rFonts w:eastAsia="Times New Roman"/>
          <w:b/>
          <w:color w:val="000000"/>
        </w:rPr>
      </w:pPr>
      <w:r w:rsidRPr="00BC5CB5">
        <w:rPr>
          <w:rFonts w:eastAsia="Times New Roman"/>
          <w:b/>
          <w:color w:val="000000"/>
        </w:rPr>
        <w:t>3.1. Rancangan Penelitian</w:t>
      </w:r>
    </w:p>
    <w:p w:rsidR="00A83A8E" w:rsidRPr="00C71940" w:rsidRDefault="00A83A8E" w:rsidP="00C71940">
      <w:pPr>
        <w:widowControl w:val="0"/>
        <w:spacing w:line="480" w:lineRule="auto"/>
        <w:ind w:firstLine="720"/>
        <w:jc w:val="both"/>
        <w:rPr>
          <w:color w:val="000000"/>
        </w:rPr>
      </w:pPr>
      <w:r w:rsidRPr="00CE5A69">
        <w:rPr>
          <w:rFonts w:eastAsia="Times New Roman"/>
          <w:color w:val="000000"/>
        </w:rPr>
        <w:t xml:space="preserve">Penelitian ini menguji abnormal return, abnormal volume perdagangan, volatilitas harga, dan Spread Bid-Ask saham Sektor Manufaktur setelah dan sebelum diberlakukannya kebijakan </w:t>
      </w:r>
      <w:r w:rsidR="00867176">
        <w:rPr>
          <w:rFonts w:eastAsia="Times New Roman"/>
          <w:color w:val="000000"/>
        </w:rPr>
        <w:t>bea</w:t>
      </w:r>
      <w:r w:rsidRPr="00CE5A69">
        <w:rPr>
          <w:rFonts w:eastAsia="Times New Roman"/>
          <w:color w:val="000000"/>
        </w:rPr>
        <w:t xml:space="preserve"> Masuk Impor</w:t>
      </w:r>
      <w:r>
        <w:rPr>
          <w:rFonts w:eastAsia="Times New Roman"/>
          <w:color w:val="000000"/>
        </w:rPr>
        <w:t xml:space="preserve"> 2020</w:t>
      </w:r>
      <w:r w:rsidRPr="00CE5A69">
        <w:rPr>
          <w:rFonts w:eastAsia="Times New Roman"/>
          <w:color w:val="000000"/>
        </w:rPr>
        <w:t>.</w:t>
      </w:r>
      <w:r>
        <w:rPr>
          <w:color w:val="000000"/>
        </w:rPr>
        <w:t xml:space="preserve"> </w:t>
      </w:r>
      <w:r w:rsidRPr="00CE5A69">
        <w:rPr>
          <w:rFonts w:eastAsia="Times New Roman"/>
          <w:color w:val="000000"/>
        </w:rPr>
        <w:t>Dalam penelitian ini menggunakan objek saham perusahaan yang berada di dalam sektor manufaktur, serta terdaftar di Bursa Efek Indonesia pada tahun 2019 sampai dengan 2020.</w:t>
      </w:r>
    </w:p>
    <w:p w:rsidR="00A83A8E" w:rsidRPr="00CE5A69" w:rsidRDefault="00A83A8E" w:rsidP="00C71940">
      <w:pPr>
        <w:widowControl w:val="0"/>
        <w:spacing w:line="480" w:lineRule="auto"/>
        <w:ind w:firstLine="720"/>
        <w:jc w:val="both"/>
        <w:rPr>
          <w:color w:val="000000"/>
        </w:rPr>
      </w:pPr>
      <w:r>
        <w:rPr>
          <w:rFonts w:eastAsia="Times New Roman"/>
          <w:color w:val="000000"/>
        </w:rPr>
        <w:t>Jenis</w:t>
      </w:r>
      <w:r w:rsidRPr="00CE5A69">
        <w:rPr>
          <w:rFonts w:eastAsia="Times New Roman"/>
          <w:color w:val="000000"/>
        </w:rPr>
        <w:t xml:space="preserve"> data yang digunakan </w:t>
      </w:r>
      <w:r>
        <w:rPr>
          <w:rFonts w:eastAsia="Times New Roman"/>
          <w:color w:val="000000"/>
        </w:rPr>
        <w:t xml:space="preserve">adalah </w:t>
      </w:r>
      <w:r w:rsidRPr="00CE5A69">
        <w:rPr>
          <w:rFonts w:eastAsia="Times New Roman"/>
          <w:color w:val="000000"/>
        </w:rPr>
        <w:t xml:space="preserve">data kuantitatif, yaitu data berupa volume perdagangan saham selama periode tahun Desember 2019 </w:t>
      </w:r>
      <w:r>
        <w:rPr>
          <w:rFonts w:eastAsia="Times New Roman"/>
          <w:color w:val="000000"/>
        </w:rPr>
        <w:t>sampai dengan</w:t>
      </w:r>
      <w:r w:rsidR="00DD79E9">
        <w:rPr>
          <w:rFonts w:eastAsia="Times New Roman"/>
          <w:color w:val="000000"/>
        </w:rPr>
        <w:t xml:space="preserve"> Maret</w:t>
      </w:r>
      <w:r w:rsidRPr="00CE5A69">
        <w:rPr>
          <w:rFonts w:eastAsia="Times New Roman"/>
          <w:color w:val="000000"/>
        </w:rPr>
        <w:t xml:space="preserve"> 2020. Penelitian ini menggunakan data sekunder, yaitu data yang diperoleh langsung dari website resmi Bursa Efek Indonesia (</w:t>
      </w:r>
      <w:hyperlink r:id="rId14" w:history="1">
        <w:r w:rsidRPr="00CE5A69">
          <w:rPr>
            <w:rStyle w:val="Hyperlink"/>
            <w:rFonts w:eastAsia="Times New Roman"/>
          </w:rPr>
          <w:t>www.idx.co.id</w:t>
        </w:r>
      </w:hyperlink>
      <w:r w:rsidRPr="00CE5A69">
        <w:rPr>
          <w:rFonts w:eastAsia="Times New Roman"/>
          <w:color w:val="000000"/>
        </w:rPr>
        <w:t>), Kustodian Sentral Efek Indonesia (</w:t>
      </w:r>
      <w:hyperlink r:id="rId15" w:history="1">
        <w:r w:rsidRPr="00CE5A69">
          <w:rPr>
            <w:rStyle w:val="Hyperlink"/>
            <w:rFonts w:eastAsia="Times New Roman"/>
          </w:rPr>
          <w:t>www.ksei.co.id</w:t>
        </w:r>
      </w:hyperlink>
      <w:r w:rsidRPr="00CE5A69">
        <w:rPr>
          <w:rFonts w:eastAsia="Times New Roman"/>
          <w:color w:val="000000"/>
        </w:rPr>
        <w:t>), dan Aplikasi Mandiri Online Sekuritas Trading (MOST).</w:t>
      </w:r>
    </w:p>
    <w:p w:rsidR="00A83A8E" w:rsidRDefault="00A83A8E" w:rsidP="00A83A8E">
      <w:pPr>
        <w:widowControl w:val="0"/>
        <w:ind w:firstLine="202"/>
        <w:jc w:val="both"/>
        <w:rPr>
          <w:rFonts w:eastAsia="Times New Roman"/>
          <w:color w:val="000000"/>
        </w:rPr>
      </w:pPr>
    </w:p>
    <w:p w:rsidR="00A83A8E" w:rsidRPr="00CE5A69" w:rsidRDefault="00A83A8E" w:rsidP="00C71940">
      <w:pPr>
        <w:widowControl w:val="0"/>
        <w:spacing w:line="480" w:lineRule="auto"/>
        <w:ind w:firstLine="720"/>
        <w:jc w:val="both"/>
        <w:rPr>
          <w:rFonts w:eastAsia="Times New Roman"/>
          <w:color w:val="000000"/>
        </w:rPr>
      </w:pPr>
      <w:r w:rsidRPr="00CE5A69">
        <w:rPr>
          <w:rFonts w:eastAsia="Times New Roman"/>
          <w:color w:val="000000"/>
        </w:rPr>
        <w:t xml:space="preserve">Peneliti </w:t>
      </w:r>
      <w:r w:rsidR="00472269">
        <w:rPr>
          <w:rFonts w:eastAsia="Times New Roman"/>
          <w:color w:val="000000"/>
        </w:rPr>
        <w:t xml:space="preserve">ini </w:t>
      </w:r>
      <w:r w:rsidRPr="00CE5A69">
        <w:rPr>
          <w:rFonts w:eastAsia="Times New Roman"/>
          <w:color w:val="000000"/>
        </w:rPr>
        <w:t xml:space="preserve">mengambil populasi saham </w:t>
      </w:r>
      <w:r>
        <w:rPr>
          <w:rFonts w:eastAsia="Times New Roman"/>
          <w:color w:val="000000"/>
        </w:rPr>
        <w:t xml:space="preserve">sektor </w:t>
      </w:r>
      <w:r w:rsidRPr="00CE5A69">
        <w:rPr>
          <w:rFonts w:eastAsia="Times New Roman"/>
          <w:color w:val="000000"/>
        </w:rPr>
        <w:t xml:space="preserve">manufaktur dan </w:t>
      </w:r>
      <w:r w:rsidR="00472269">
        <w:rPr>
          <w:rFonts w:eastAsia="Times New Roman"/>
          <w:color w:val="000000"/>
        </w:rPr>
        <w:t>menggunakan</w:t>
      </w:r>
      <w:r w:rsidRPr="00CE5A69">
        <w:rPr>
          <w:rFonts w:eastAsia="Times New Roman"/>
          <w:color w:val="000000"/>
        </w:rPr>
        <w:t xml:space="preserve"> sampel dengan teknik </w:t>
      </w:r>
      <w:r w:rsidRPr="00CE5A69">
        <w:rPr>
          <w:rFonts w:eastAsia="Times New Roman"/>
          <w:i/>
          <w:iCs/>
          <w:color w:val="000000"/>
        </w:rPr>
        <w:t>single sampling</w:t>
      </w:r>
      <w:r w:rsidR="00472269">
        <w:rPr>
          <w:rFonts w:eastAsia="Times New Roman"/>
          <w:color w:val="000000"/>
        </w:rPr>
        <w:t>, berdasarkan</w:t>
      </w:r>
      <w:r w:rsidRPr="00CE5A69">
        <w:rPr>
          <w:rFonts w:eastAsia="Times New Roman"/>
          <w:color w:val="000000"/>
        </w:rPr>
        <w:t xml:space="preserve"> pada pertimbangan tertentu yaitu: </w:t>
      </w:r>
    </w:p>
    <w:p w:rsidR="00A83A8E" w:rsidRPr="00CE5A69" w:rsidRDefault="00A83A8E" w:rsidP="00C71940">
      <w:pPr>
        <w:pStyle w:val="ListParagraph"/>
        <w:widowControl w:val="0"/>
        <w:numPr>
          <w:ilvl w:val="0"/>
          <w:numId w:val="3"/>
        </w:numPr>
        <w:spacing w:line="480" w:lineRule="auto"/>
        <w:rPr>
          <w:rFonts w:ascii="Times New Roman" w:eastAsia="Times New Roman" w:hAnsi="Times New Roman" w:cs="Times New Roman"/>
          <w:color w:val="000000"/>
          <w:sz w:val="24"/>
          <w:szCs w:val="24"/>
        </w:rPr>
      </w:pPr>
      <w:r w:rsidRPr="00CE5A69">
        <w:rPr>
          <w:rFonts w:ascii="Times New Roman" w:eastAsia="Times New Roman" w:hAnsi="Times New Roman" w:cs="Times New Roman"/>
          <w:color w:val="000000"/>
          <w:sz w:val="24"/>
          <w:szCs w:val="24"/>
        </w:rPr>
        <w:t>Terdaftar di Bursa Efek Indonesia selama periode pengamatan.</w:t>
      </w:r>
    </w:p>
    <w:p w:rsidR="00A83A8E" w:rsidRPr="00CE5A69" w:rsidRDefault="00A83A8E" w:rsidP="00C71940">
      <w:pPr>
        <w:pStyle w:val="ListParagraph"/>
        <w:widowControl w:val="0"/>
        <w:numPr>
          <w:ilvl w:val="0"/>
          <w:numId w:val="3"/>
        </w:numPr>
        <w:spacing w:line="480" w:lineRule="auto"/>
        <w:rPr>
          <w:rFonts w:ascii="Times New Roman" w:eastAsia="Times New Roman" w:hAnsi="Times New Roman" w:cs="Times New Roman"/>
          <w:color w:val="000000"/>
          <w:sz w:val="24"/>
          <w:szCs w:val="24"/>
        </w:rPr>
      </w:pPr>
      <w:r w:rsidRPr="00CE5A69">
        <w:rPr>
          <w:rFonts w:ascii="Times New Roman" w:eastAsia="Times New Roman" w:hAnsi="Times New Roman" w:cs="Times New Roman"/>
          <w:color w:val="000000"/>
          <w:sz w:val="24"/>
          <w:szCs w:val="24"/>
        </w:rPr>
        <w:t xml:space="preserve">Data tanggal penutupan harga terpublikasi di bursa. </w:t>
      </w:r>
    </w:p>
    <w:p w:rsidR="00A83A8E" w:rsidRDefault="00A83A8E" w:rsidP="00C71940">
      <w:pPr>
        <w:pStyle w:val="ListParagraph"/>
        <w:widowControl w:val="0"/>
        <w:numPr>
          <w:ilvl w:val="0"/>
          <w:numId w:val="3"/>
        </w:numPr>
        <w:spacing w:line="480" w:lineRule="auto"/>
        <w:jc w:val="both"/>
        <w:rPr>
          <w:rFonts w:ascii="Times New Roman" w:eastAsia="Times New Roman" w:hAnsi="Times New Roman" w:cs="Times New Roman"/>
          <w:color w:val="000000"/>
          <w:sz w:val="24"/>
          <w:szCs w:val="24"/>
        </w:rPr>
      </w:pPr>
      <w:r w:rsidRPr="00CE5A69">
        <w:rPr>
          <w:rFonts w:ascii="Times New Roman" w:eastAsia="Times New Roman" w:hAnsi="Times New Roman" w:cs="Times New Roman"/>
          <w:color w:val="000000"/>
          <w:sz w:val="24"/>
          <w:szCs w:val="24"/>
        </w:rPr>
        <w:t>Tersedia data harga historis</w:t>
      </w:r>
      <w:r>
        <w:rPr>
          <w:rFonts w:ascii="Times New Roman" w:eastAsia="Times New Roman" w:hAnsi="Times New Roman" w:cs="Times New Roman"/>
          <w:color w:val="000000"/>
          <w:sz w:val="24"/>
          <w:szCs w:val="24"/>
        </w:rPr>
        <w:t xml:space="preserve"> dan volume perdagangan</w:t>
      </w:r>
      <w:r w:rsidRPr="00CE5A69">
        <w:rPr>
          <w:rFonts w:ascii="Times New Roman" w:eastAsia="Times New Roman" w:hAnsi="Times New Roman" w:cs="Times New Roman"/>
          <w:color w:val="000000"/>
          <w:sz w:val="24"/>
          <w:szCs w:val="24"/>
        </w:rPr>
        <w:t xml:space="preserve"> saham pada periode pengamatan.</w:t>
      </w:r>
    </w:p>
    <w:p w:rsidR="00EA3C03" w:rsidRDefault="00EA3C03" w:rsidP="00C71940">
      <w:pPr>
        <w:pStyle w:val="ListParagraph"/>
        <w:widowControl w:val="0"/>
        <w:numPr>
          <w:ilvl w:val="0"/>
          <w:numId w:val="3"/>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Periode pengamatan dimulai tanggal 2 Desember 2019 sampai dengan tanggal </w:t>
      </w:r>
      <w:r w:rsidR="00317AD1">
        <w:rPr>
          <w:rFonts w:ascii="Times New Roman" w:eastAsia="Times New Roman" w:hAnsi="Times New Roman" w:cs="Times New Roman"/>
          <w:color w:val="000000"/>
          <w:sz w:val="24"/>
          <w:szCs w:val="24"/>
        </w:rPr>
        <w:t>31 Maret 2020.</w:t>
      </w:r>
    </w:p>
    <w:p w:rsidR="00317AD1" w:rsidRDefault="00317AD1" w:rsidP="00C71940">
      <w:pPr>
        <w:pStyle w:val="ListParagraph"/>
        <w:widowControl w:val="0"/>
        <w:numPr>
          <w:ilvl w:val="0"/>
          <w:numId w:val="3"/>
        </w:num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Metode yang digunakan adalah event study yakni saat ditetapkannya aturan bea masuk impor yang baru sebelum dan sesudahnya.</w:t>
      </w:r>
    </w:p>
    <w:p w:rsidR="00317AD1" w:rsidRPr="00CE5A69" w:rsidRDefault="00317AD1" w:rsidP="00317AD1">
      <w:pPr>
        <w:pStyle w:val="ListParagraph"/>
        <w:widowControl w:val="0"/>
        <w:spacing w:line="480" w:lineRule="auto"/>
        <w:ind w:left="922"/>
        <w:jc w:val="both"/>
        <w:rPr>
          <w:rFonts w:ascii="Times New Roman" w:eastAsia="Times New Roman" w:hAnsi="Times New Roman" w:cs="Times New Roman"/>
          <w:color w:val="000000"/>
          <w:sz w:val="24"/>
          <w:szCs w:val="24"/>
        </w:rPr>
      </w:pPr>
    </w:p>
    <w:tbl>
      <w:tblPr>
        <w:tblW w:w="9556" w:type="dxa"/>
        <w:tblInd w:w="45" w:type="dxa"/>
        <w:tblLook w:val="04A0" w:firstRow="1" w:lastRow="0" w:firstColumn="1" w:lastColumn="0" w:noHBand="0" w:noVBand="1"/>
      </w:tblPr>
      <w:tblGrid>
        <w:gridCol w:w="875"/>
        <w:gridCol w:w="925"/>
        <w:gridCol w:w="3555"/>
        <w:gridCol w:w="1085"/>
        <w:gridCol w:w="115"/>
        <w:gridCol w:w="1150"/>
        <w:gridCol w:w="1851"/>
      </w:tblGrid>
      <w:tr w:rsidR="00EA3C03" w:rsidRPr="00317AD1" w:rsidTr="00317AD1">
        <w:trPr>
          <w:trHeight w:val="375"/>
        </w:trPr>
        <w:tc>
          <w:tcPr>
            <w:tcW w:w="875"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c>
          <w:tcPr>
            <w:tcW w:w="925"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c>
          <w:tcPr>
            <w:tcW w:w="4755" w:type="dxa"/>
            <w:gridSpan w:val="3"/>
            <w:tcBorders>
              <w:top w:val="nil"/>
              <w:left w:val="nil"/>
              <w:bottom w:val="nil"/>
              <w:right w:val="nil"/>
            </w:tcBorders>
            <w:shd w:val="clear" w:color="auto" w:fill="auto"/>
            <w:noWrap/>
            <w:vAlign w:val="bottom"/>
            <w:hideMark/>
          </w:tcPr>
          <w:p w:rsidR="00EA3C03" w:rsidRPr="00317AD1" w:rsidRDefault="00EA3C03" w:rsidP="00EA3C03">
            <w:pPr>
              <w:jc w:val="center"/>
              <w:rPr>
                <w:b/>
                <w:bCs/>
                <w:sz w:val="22"/>
                <w:szCs w:val="22"/>
                <w:lang w:val="id-ID"/>
              </w:rPr>
            </w:pPr>
            <w:r w:rsidRPr="00317AD1">
              <w:rPr>
                <w:b/>
                <w:bCs/>
                <w:sz w:val="22"/>
                <w:szCs w:val="22"/>
              </w:rPr>
              <w:t xml:space="preserve">Tabel 3.1. </w:t>
            </w:r>
            <w:r w:rsidRPr="00317AD1">
              <w:rPr>
                <w:b/>
                <w:bCs/>
                <w:sz w:val="22"/>
                <w:szCs w:val="22"/>
                <w:lang w:val="id-ID"/>
              </w:rPr>
              <w:t>Sektor Manufaktur &amp; Subsektornya</w:t>
            </w:r>
          </w:p>
        </w:tc>
        <w:tc>
          <w:tcPr>
            <w:tcW w:w="1150"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c>
          <w:tcPr>
            <w:tcW w:w="1851"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r>
      <w:tr w:rsidR="00EA3C03" w:rsidRPr="00317AD1" w:rsidTr="00317AD1">
        <w:trPr>
          <w:trHeight w:val="300"/>
        </w:trPr>
        <w:tc>
          <w:tcPr>
            <w:tcW w:w="875"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c>
          <w:tcPr>
            <w:tcW w:w="925"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c>
          <w:tcPr>
            <w:tcW w:w="3555"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c>
          <w:tcPr>
            <w:tcW w:w="1200" w:type="dxa"/>
            <w:gridSpan w:val="2"/>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c>
          <w:tcPr>
            <w:tcW w:w="1150"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c>
          <w:tcPr>
            <w:tcW w:w="1851" w:type="dxa"/>
            <w:tcBorders>
              <w:top w:val="nil"/>
              <w:left w:val="nil"/>
              <w:bottom w:val="nil"/>
              <w:right w:val="nil"/>
            </w:tcBorders>
            <w:shd w:val="clear" w:color="auto" w:fill="auto"/>
            <w:noWrap/>
            <w:vAlign w:val="bottom"/>
            <w:hideMark/>
          </w:tcPr>
          <w:p w:rsidR="00EA3C03" w:rsidRPr="00317AD1" w:rsidRDefault="00EA3C03" w:rsidP="00EA3C03">
            <w:pPr>
              <w:jc w:val="center"/>
              <w:rPr>
                <w:b/>
                <w:bCs/>
                <w:sz w:val="20"/>
                <w:szCs w:val="20"/>
                <w:lang w:val="id-ID"/>
              </w:rPr>
            </w:pPr>
          </w:p>
        </w:tc>
      </w:tr>
      <w:tr w:rsidR="00EA3C03" w:rsidRPr="00317AD1" w:rsidTr="00317AD1">
        <w:trPr>
          <w:trHeight w:val="435"/>
        </w:trPr>
        <w:tc>
          <w:tcPr>
            <w:tcW w:w="875"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EA3C03" w:rsidRPr="00317AD1" w:rsidRDefault="00EA3C03" w:rsidP="00EA3C03">
            <w:pPr>
              <w:jc w:val="center"/>
              <w:rPr>
                <w:b/>
                <w:bCs/>
                <w:sz w:val="20"/>
                <w:szCs w:val="20"/>
                <w:lang w:val="id-ID"/>
              </w:rPr>
            </w:pPr>
            <w:r w:rsidRPr="00317AD1">
              <w:rPr>
                <w:b/>
                <w:bCs/>
                <w:sz w:val="20"/>
                <w:szCs w:val="20"/>
                <w:lang w:val="id-ID"/>
              </w:rPr>
              <w:t>No</w:t>
            </w:r>
          </w:p>
        </w:tc>
        <w:tc>
          <w:tcPr>
            <w:tcW w:w="925" w:type="dxa"/>
            <w:tcBorders>
              <w:top w:val="single" w:sz="4" w:space="0" w:color="auto"/>
              <w:left w:val="nil"/>
              <w:bottom w:val="single" w:sz="4" w:space="0" w:color="auto"/>
              <w:right w:val="single" w:sz="4" w:space="0" w:color="auto"/>
            </w:tcBorders>
            <w:shd w:val="clear" w:color="000000" w:fill="5B9BD5"/>
            <w:noWrap/>
            <w:vAlign w:val="center"/>
            <w:hideMark/>
          </w:tcPr>
          <w:p w:rsidR="00EA3C03" w:rsidRPr="00317AD1" w:rsidRDefault="00EA3C03" w:rsidP="00EA3C03">
            <w:pPr>
              <w:jc w:val="center"/>
              <w:rPr>
                <w:b/>
                <w:bCs/>
                <w:sz w:val="20"/>
                <w:szCs w:val="20"/>
                <w:lang w:val="id-ID"/>
              </w:rPr>
            </w:pPr>
            <w:r w:rsidRPr="00317AD1">
              <w:rPr>
                <w:b/>
                <w:bCs/>
                <w:sz w:val="20"/>
                <w:szCs w:val="20"/>
                <w:lang w:val="id-ID"/>
              </w:rPr>
              <w:t>KODE</w:t>
            </w:r>
          </w:p>
        </w:tc>
        <w:tc>
          <w:tcPr>
            <w:tcW w:w="3555" w:type="dxa"/>
            <w:tcBorders>
              <w:top w:val="single" w:sz="4" w:space="0" w:color="auto"/>
              <w:left w:val="nil"/>
              <w:bottom w:val="single" w:sz="4" w:space="0" w:color="auto"/>
              <w:right w:val="single" w:sz="4" w:space="0" w:color="auto"/>
            </w:tcBorders>
            <w:shd w:val="clear" w:color="000000" w:fill="5B9BD5"/>
            <w:noWrap/>
            <w:vAlign w:val="center"/>
            <w:hideMark/>
          </w:tcPr>
          <w:p w:rsidR="00EA3C03" w:rsidRPr="00317AD1" w:rsidRDefault="00EA3C03" w:rsidP="00EA3C03">
            <w:pPr>
              <w:jc w:val="center"/>
              <w:rPr>
                <w:b/>
                <w:bCs/>
                <w:sz w:val="20"/>
                <w:szCs w:val="20"/>
                <w:lang w:val="id-ID"/>
              </w:rPr>
            </w:pPr>
            <w:r w:rsidRPr="00317AD1">
              <w:rPr>
                <w:b/>
                <w:bCs/>
                <w:sz w:val="20"/>
                <w:szCs w:val="20"/>
                <w:lang w:val="id-ID"/>
              </w:rPr>
              <w:t>Nama Perusahaan</w:t>
            </w:r>
          </w:p>
        </w:tc>
        <w:tc>
          <w:tcPr>
            <w:tcW w:w="1085" w:type="dxa"/>
            <w:tcBorders>
              <w:top w:val="single" w:sz="4" w:space="0" w:color="auto"/>
              <w:left w:val="nil"/>
              <w:bottom w:val="single" w:sz="4" w:space="0" w:color="auto"/>
              <w:right w:val="single" w:sz="4" w:space="0" w:color="auto"/>
            </w:tcBorders>
            <w:shd w:val="clear" w:color="000000" w:fill="5B9BD5"/>
            <w:noWrap/>
            <w:vAlign w:val="center"/>
            <w:hideMark/>
          </w:tcPr>
          <w:p w:rsidR="00EA3C03" w:rsidRPr="00317AD1" w:rsidRDefault="00EA3C03" w:rsidP="00EA3C03">
            <w:pPr>
              <w:jc w:val="center"/>
              <w:rPr>
                <w:b/>
                <w:bCs/>
                <w:sz w:val="20"/>
                <w:szCs w:val="20"/>
                <w:lang w:val="id-ID"/>
              </w:rPr>
            </w:pPr>
            <w:r w:rsidRPr="00317AD1">
              <w:rPr>
                <w:b/>
                <w:bCs/>
                <w:sz w:val="20"/>
                <w:szCs w:val="20"/>
                <w:lang w:val="id-ID"/>
              </w:rPr>
              <w:t>Cptl Rp triliun</w:t>
            </w:r>
          </w:p>
        </w:tc>
        <w:tc>
          <w:tcPr>
            <w:tcW w:w="1265" w:type="dxa"/>
            <w:gridSpan w:val="2"/>
            <w:tcBorders>
              <w:top w:val="single" w:sz="4" w:space="0" w:color="auto"/>
              <w:left w:val="nil"/>
              <w:bottom w:val="single" w:sz="4" w:space="0" w:color="auto"/>
              <w:right w:val="single" w:sz="4" w:space="0" w:color="auto"/>
            </w:tcBorders>
            <w:shd w:val="clear" w:color="000000" w:fill="5B9BD5"/>
            <w:noWrap/>
            <w:vAlign w:val="center"/>
            <w:hideMark/>
          </w:tcPr>
          <w:p w:rsidR="00EA3C03" w:rsidRPr="00317AD1" w:rsidRDefault="00EA3C03" w:rsidP="00EA3C03">
            <w:pPr>
              <w:jc w:val="center"/>
              <w:rPr>
                <w:b/>
                <w:bCs/>
                <w:sz w:val="20"/>
                <w:szCs w:val="20"/>
                <w:lang w:val="id-ID"/>
              </w:rPr>
            </w:pPr>
            <w:r w:rsidRPr="00317AD1">
              <w:rPr>
                <w:b/>
                <w:bCs/>
                <w:sz w:val="20"/>
                <w:szCs w:val="20"/>
                <w:lang w:val="id-ID"/>
              </w:rPr>
              <w:t>B</w:t>
            </w:r>
            <w:r w:rsidRPr="00317AD1">
              <w:rPr>
                <w:b/>
                <w:bCs/>
                <w:sz w:val="20"/>
                <w:szCs w:val="20"/>
              </w:rPr>
              <w:t>o</w:t>
            </w:r>
            <w:r w:rsidRPr="00317AD1">
              <w:rPr>
                <w:b/>
                <w:bCs/>
                <w:sz w:val="20"/>
                <w:szCs w:val="20"/>
                <w:lang w:val="id-ID"/>
              </w:rPr>
              <w:t>b</w:t>
            </w:r>
            <w:r w:rsidRPr="00317AD1">
              <w:rPr>
                <w:b/>
                <w:bCs/>
                <w:sz w:val="20"/>
                <w:szCs w:val="20"/>
              </w:rPr>
              <w:t>o</w:t>
            </w:r>
            <w:r w:rsidRPr="00317AD1">
              <w:rPr>
                <w:b/>
                <w:bCs/>
                <w:sz w:val="20"/>
                <w:szCs w:val="20"/>
                <w:lang w:val="id-ID"/>
              </w:rPr>
              <w:t>t Indeks</w:t>
            </w:r>
            <w:r w:rsidR="00317AD1" w:rsidRPr="00317AD1">
              <w:rPr>
                <w:b/>
                <w:bCs/>
                <w:sz w:val="20"/>
                <w:szCs w:val="20"/>
              </w:rPr>
              <w:t xml:space="preserve"> Sektor</w:t>
            </w:r>
          </w:p>
        </w:tc>
        <w:tc>
          <w:tcPr>
            <w:tcW w:w="1851" w:type="dxa"/>
            <w:tcBorders>
              <w:top w:val="single" w:sz="4" w:space="0" w:color="auto"/>
              <w:left w:val="nil"/>
              <w:bottom w:val="single" w:sz="4" w:space="0" w:color="auto"/>
              <w:right w:val="single" w:sz="4" w:space="0" w:color="auto"/>
            </w:tcBorders>
            <w:shd w:val="clear" w:color="000000" w:fill="5B9BD5"/>
            <w:noWrap/>
            <w:vAlign w:val="center"/>
            <w:hideMark/>
          </w:tcPr>
          <w:p w:rsidR="00EA3C03" w:rsidRPr="00317AD1" w:rsidRDefault="00EA3C03" w:rsidP="00EA3C03">
            <w:pPr>
              <w:jc w:val="center"/>
              <w:rPr>
                <w:b/>
                <w:bCs/>
                <w:sz w:val="20"/>
                <w:szCs w:val="20"/>
                <w:lang w:val="id-ID"/>
              </w:rPr>
            </w:pPr>
            <w:r w:rsidRPr="00317AD1">
              <w:rPr>
                <w:b/>
                <w:bCs/>
                <w:sz w:val="20"/>
                <w:szCs w:val="20"/>
                <w:lang w:val="id-ID"/>
              </w:rPr>
              <w:t>Subsektor</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1</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UNVR</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Unilever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320,46</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13,83</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B</w:t>
            </w:r>
            <w:r w:rsidRPr="00317AD1">
              <w:rPr>
                <w:b/>
                <w:bCs/>
                <w:sz w:val="20"/>
                <w:szCs w:val="20"/>
              </w:rPr>
              <w:t>a</w:t>
            </w:r>
            <w:r w:rsidR="00EA3C03" w:rsidRPr="00317AD1">
              <w:rPr>
                <w:b/>
                <w:bCs/>
                <w:sz w:val="20"/>
                <w:szCs w:val="20"/>
                <w:lang w:val="id-ID"/>
              </w:rPr>
              <w:t>r</w:t>
            </w:r>
            <w:r w:rsidRPr="00317AD1">
              <w:rPr>
                <w:b/>
                <w:bCs/>
                <w:sz w:val="20"/>
                <w:szCs w:val="20"/>
              </w:rPr>
              <w:t>an</w:t>
            </w:r>
            <w:r w:rsidR="00EA3C03" w:rsidRPr="00317AD1">
              <w:rPr>
                <w:b/>
                <w:bCs/>
                <w:sz w:val="20"/>
                <w:szCs w:val="20"/>
                <w:lang w:val="id-ID"/>
              </w:rPr>
              <w:t>g Konsumsi</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2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ASII</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Astra Internasional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280,35</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12,10</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Aneka Industri</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3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HMSP</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HM Sampurna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244,27</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10,54</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B</w:t>
            </w:r>
            <w:r w:rsidRPr="00317AD1">
              <w:rPr>
                <w:b/>
                <w:bCs/>
                <w:sz w:val="20"/>
                <w:szCs w:val="20"/>
              </w:rPr>
              <w:t>a</w:t>
            </w:r>
            <w:r w:rsidR="00EA3C03" w:rsidRPr="00317AD1">
              <w:rPr>
                <w:b/>
                <w:bCs/>
                <w:sz w:val="20"/>
                <w:szCs w:val="20"/>
                <w:lang w:val="id-ID"/>
              </w:rPr>
              <w:t>r</w:t>
            </w:r>
            <w:r w:rsidRPr="00317AD1">
              <w:rPr>
                <w:b/>
                <w:bCs/>
                <w:sz w:val="20"/>
                <w:szCs w:val="20"/>
              </w:rPr>
              <w:t>an</w:t>
            </w:r>
            <w:r w:rsidR="00EA3C03" w:rsidRPr="00317AD1">
              <w:rPr>
                <w:b/>
                <w:bCs/>
                <w:sz w:val="20"/>
                <w:szCs w:val="20"/>
                <w:lang w:val="id-ID"/>
              </w:rPr>
              <w:t>g Konsumsi</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4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TPIA</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Chandra Asri Petrochemical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185,02</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7,98</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Dasar &amp; Kimia</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5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BRPT</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Barito Pacific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134,41</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5,80</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Dasar &amp; Kimia</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6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ICBP</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Indofood CBP Sukses Makmur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130,03</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5,61</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B</w:t>
            </w:r>
            <w:r w:rsidRPr="00317AD1">
              <w:rPr>
                <w:b/>
                <w:bCs/>
                <w:sz w:val="20"/>
                <w:szCs w:val="20"/>
              </w:rPr>
              <w:t>a</w:t>
            </w:r>
            <w:r w:rsidR="00EA3C03" w:rsidRPr="00317AD1">
              <w:rPr>
                <w:b/>
                <w:bCs/>
                <w:sz w:val="20"/>
                <w:szCs w:val="20"/>
                <w:lang w:val="id-ID"/>
              </w:rPr>
              <w:t>r</w:t>
            </w:r>
            <w:r w:rsidRPr="00317AD1">
              <w:rPr>
                <w:b/>
                <w:bCs/>
                <w:sz w:val="20"/>
                <w:szCs w:val="20"/>
              </w:rPr>
              <w:t>an</w:t>
            </w:r>
            <w:r w:rsidR="00EA3C03" w:rsidRPr="00317AD1">
              <w:rPr>
                <w:b/>
                <w:bCs/>
                <w:sz w:val="20"/>
                <w:szCs w:val="20"/>
                <w:lang w:val="id-ID"/>
              </w:rPr>
              <w:t>g Konsumsi</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7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CPIN</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Charoen Pokphand Indonesia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106,59</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4,60</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Dasar &amp; Kimia</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8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GGRM</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Gudang Garam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101,98</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4,40</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B</w:t>
            </w:r>
            <w:r w:rsidRPr="00317AD1">
              <w:rPr>
                <w:b/>
                <w:bCs/>
                <w:sz w:val="20"/>
                <w:szCs w:val="20"/>
              </w:rPr>
              <w:t>a</w:t>
            </w:r>
            <w:r w:rsidR="00EA3C03" w:rsidRPr="00317AD1">
              <w:rPr>
                <w:b/>
                <w:bCs/>
                <w:sz w:val="20"/>
                <w:szCs w:val="20"/>
                <w:lang w:val="id-ID"/>
              </w:rPr>
              <w:t>r</w:t>
            </w:r>
            <w:r w:rsidRPr="00317AD1">
              <w:rPr>
                <w:b/>
                <w:bCs/>
                <w:sz w:val="20"/>
                <w:szCs w:val="20"/>
              </w:rPr>
              <w:t>an</w:t>
            </w:r>
            <w:r w:rsidR="00EA3C03" w:rsidRPr="00317AD1">
              <w:rPr>
                <w:b/>
                <w:bCs/>
                <w:sz w:val="20"/>
                <w:szCs w:val="20"/>
                <w:lang w:val="id-ID"/>
              </w:rPr>
              <w:t>g Konsumsi</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9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KLBF</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Kalbe Farma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75,94</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3,28</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B</w:t>
            </w:r>
            <w:r w:rsidRPr="00317AD1">
              <w:rPr>
                <w:b/>
                <w:bCs/>
                <w:sz w:val="20"/>
                <w:szCs w:val="20"/>
              </w:rPr>
              <w:t>a</w:t>
            </w:r>
            <w:r w:rsidR="00EA3C03" w:rsidRPr="00317AD1">
              <w:rPr>
                <w:b/>
                <w:bCs/>
                <w:sz w:val="20"/>
                <w:szCs w:val="20"/>
                <w:lang w:val="id-ID"/>
              </w:rPr>
              <w:t>r</w:t>
            </w:r>
            <w:r w:rsidRPr="00317AD1">
              <w:rPr>
                <w:b/>
                <w:bCs/>
                <w:sz w:val="20"/>
                <w:szCs w:val="20"/>
              </w:rPr>
              <w:t>an</w:t>
            </w:r>
            <w:r w:rsidR="00EA3C03" w:rsidRPr="00317AD1">
              <w:rPr>
                <w:b/>
                <w:bCs/>
                <w:sz w:val="20"/>
                <w:szCs w:val="20"/>
                <w:lang w:val="id-ID"/>
              </w:rPr>
              <w:t>g Konsumsi</w:t>
            </w:r>
          </w:p>
        </w:tc>
      </w:tr>
      <w:tr w:rsidR="00EA3C03" w:rsidRPr="00317AD1" w:rsidTr="00317AD1">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 xml:space="preserve">10 </w:t>
            </w:r>
          </w:p>
        </w:tc>
        <w:tc>
          <w:tcPr>
            <w:tcW w:w="92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SMGR</w:t>
            </w:r>
          </w:p>
        </w:tc>
        <w:tc>
          <w:tcPr>
            <w:tcW w:w="355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Semen Indonesia (Persero) tbk</w:t>
            </w:r>
          </w:p>
        </w:tc>
        <w:tc>
          <w:tcPr>
            <w:tcW w:w="1085" w:type="dxa"/>
            <w:tcBorders>
              <w:top w:val="nil"/>
              <w:left w:val="nil"/>
              <w:bottom w:val="single" w:sz="4" w:space="0" w:color="auto"/>
              <w:right w:val="single" w:sz="4" w:space="0" w:color="auto"/>
            </w:tcBorders>
            <w:shd w:val="clear" w:color="auto" w:fill="auto"/>
            <w:noWrap/>
            <w:vAlign w:val="bottom"/>
            <w:hideMark/>
          </w:tcPr>
          <w:p w:rsidR="00EA3C03" w:rsidRPr="00317AD1" w:rsidRDefault="00EA3C03" w:rsidP="00EA3C03">
            <w:pPr>
              <w:jc w:val="center"/>
              <w:rPr>
                <w:b/>
                <w:bCs/>
                <w:sz w:val="20"/>
                <w:szCs w:val="20"/>
                <w:lang w:val="id-ID"/>
              </w:rPr>
            </w:pPr>
            <w:r w:rsidRPr="00317AD1">
              <w:rPr>
                <w:b/>
                <w:bCs/>
                <w:sz w:val="20"/>
                <w:szCs w:val="20"/>
                <w:lang w:val="id-ID"/>
              </w:rPr>
              <w:t>71,18</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lang w:val="id-ID"/>
              </w:rPr>
              <w:t>3,07</w:t>
            </w:r>
          </w:p>
        </w:tc>
        <w:tc>
          <w:tcPr>
            <w:tcW w:w="1851" w:type="dxa"/>
            <w:tcBorders>
              <w:top w:val="nil"/>
              <w:left w:val="nil"/>
              <w:bottom w:val="single" w:sz="4" w:space="0" w:color="auto"/>
              <w:right w:val="single" w:sz="4" w:space="0" w:color="auto"/>
            </w:tcBorders>
            <w:shd w:val="clear" w:color="auto" w:fill="auto"/>
            <w:noWrap/>
            <w:vAlign w:val="bottom"/>
            <w:hideMark/>
          </w:tcPr>
          <w:p w:rsidR="00EA3C03" w:rsidRPr="00317AD1" w:rsidRDefault="00317AD1" w:rsidP="00EA3C03">
            <w:pPr>
              <w:jc w:val="center"/>
              <w:rPr>
                <w:b/>
                <w:bCs/>
                <w:sz w:val="20"/>
                <w:szCs w:val="20"/>
                <w:lang w:val="id-ID"/>
              </w:rPr>
            </w:pPr>
            <w:r w:rsidRPr="00317AD1">
              <w:rPr>
                <w:b/>
                <w:bCs/>
                <w:sz w:val="20"/>
                <w:szCs w:val="20"/>
              </w:rPr>
              <w:t xml:space="preserve">Industri </w:t>
            </w:r>
            <w:r w:rsidR="00EA3C03" w:rsidRPr="00317AD1">
              <w:rPr>
                <w:b/>
                <w:bCs/>
                <w:sz w:val="20"/>
                <w:szCs w:val="20"/>
                <w:lang w:val="id-ID"/>
              </w:rPr>
              <w:t>Dasar &amp; Kimia</w:t>
            </w:r>
          </w:p>
        </w:tc>
      </w:tr>
    </w:tbl>
    <w:p w:rsidR="00EA3C03" w:rsidRDefault="00317AD1" w:rsidP="00317AD1">
      <w:pPr>
        <w:rPr>
          <w:b/>
          <w:bCs/>
          <w:sz w:val="22"/>
          <w:szCs w:val="22"/>
        </w:rPr>
      </w:pPr>
      <w:r>
        <w:rPr>
          <w:b/>
          <w:bCs/>
          <w:sz w:val="22"/>
          <w:szCs w:val="22"/>
        </w:rPr>
        <w:t>Sumber: Bursa Efek Indonesia</w:t>
      </w:r>
    </w:p>
    <w:p w:rsidR="00EA3C03" w:rsidRDefault="00EA3C03" w:rsidP="00494F59">
      <w:pPr>
        <w:jc w:val="center"/>
        <w:rPr>
          <w:b/>
          <w:bCs/>
          <w:sz w:val="22"/>
          <w:szCs w:val="22"/>
        </w:rPr>
      </w:pPr>
    </w:p>
    <w:p w:rsidR="00BC5CB5" w:rsidRPr="00BC5CB5" w:rsidRDefault="00BC5CB5" w:rsidP="00BC5CB5">
      <w:pPr>
        <w:widowControl w:val="0"/>
        <w:spacing w:line="480" w:lineRule="auto"/>
        <w:jc w:val="both"/>
        <w:rPr>
          <w:rFonts w:eastAsia="Times New Roman"/>
          <w:b/>
          <w:color w:val="000000"/>
        </w:rPr>
      </w:pPr>
      <w:r w:rsidRPr="00BC5CB5">
        <w:rPr>
          <w:rFonts w:eastAsia="Times New Roman"/>
          <w:b/>
          <w:color w:val="000000"/>
        </w:rPr>
        <w:t>3.2. Model Penelitian</w:t>
      </w:r>
    </w:p>
    <w:p w:rsidR="00A83A8E" w:rsidRDefault="00A83A8E" w:rsidP="00C71940">
      <w:pPr>
        <w:widowControl w:val="0"/>
        <w:spacing w:line="480" w:lineRule="auto"/>
        <w:ind w:firstLine="720"/>
        <w:jc w:val="both"/>
        <w:rPr>
          <w:rFonts w:eastAsia="Times New Roman"/>
          <w:color w:val="000000"/>
        </w:rPr>
      </w:pPr>
      <w:r>
        <w:rPr>
          <w:rFonts w:eastAsia="Times New Roman"/>
          <w:color w:val="000000"/>
        </w:rPr>
        <w:t>Peneliti</w:t>
      </w:r>
      <w:r w:rsidR="00C71940">
        <w:rPr>
          <w:rFonts w:eastAsia="Times New Roman"/>
          <w:color w:val="000000"/>
        </w:rPr>
        <w:t>an</w:t>
      </w:r>
      <w:r>
        <w:rPr>
          <w:rFonts w:eastAsia="Times New Roman"/>
          <w:color w:val="000000"/>
        </w:rPr>
        <w:t xml:space="preserve"> </w:t>
      </w:r>
      <w:r w:rsidR="00472269">
        <w:rPr>
          <w:rFonts w:eastAsia="Times New Roman"/>
          <w:color w:val="000000"/>
        </w:rPr>
        <w:t>ini</w:t>
      </w:r>
      <w:r>
        <w:rPr>
          <w:rFonts w:eastAsia="Times New Roman"/>
          <w:color w:val="000000"/>
        </w:rPr>
        <w:t xml:space="preserve"> </w:t>
      </w:r>
      <w:r w:rsidRPr="002E71E4">
        <w:rPr>
          <w:rFonts w:eastAsia="Times New Roman"/>
          <w:color w:val="000000"/>
        </w:rPr>
        <w:t xml:space="preserve">menggunakan dua model regresi, disesuaikan untuk </w:t>
      </w:r>
      <w:r w:rsidRPr="002E71E4">
        <w:rPr>
          <w:rFonts w:eastAsia="Times New Roman"/>
          <w:i/>
          <w:iCs/>
          <w:color w:val="000000"/>
        </w:rPr>
        <w:t>cross-sectional clustering</w:t>
      </w:r>
      <w:r w:rsidR="00472269">
        <w:rPr>
          <w:rFonts w:eastAsia="Times New Roman"/>
          <w:color w:val="000000"/>
        </w:rPr>
        <w:t xml:space="preserve"> untuk memeriksa adanya</w:t>
      </w:r>
      <w:r w:rsidRPr="002E71E4">
        <w:rPr>
          <w:rFonts w:eastAsia="Times New Roman"/>
          <w:color w:val="000000"/>
        </w:rPr>
        <w:t xml:space="preserve"> perubahan AR rata-rata</w:t>
      </w:r>
      <w:r w:rsidRPr="002E71E4">
        <w:rPr>
          <w:rFonts w:eastAsia="Times New Roman"/>
          <w:b/>
          <w:bCs/>
          <w:color w:val="000000"/>
        </w:rPr>
        <w:t xml:space="preserve"> </w:t>
      </w:r>
      <w:r w:rsidRPr="002E71E4">
        <w:rPr>
          <w:rFonts w:eastAsia="Times New Roman"/>
          <w:color w:val="000000"/>
        </w:rPr>
        <w:t>dari periode sebelum diberlakukan ke periode sesudah diberlakukan.</w:t>
      </w:r>
      <w:r>
        <w:rPr>
          <w:rFonts w:eastAsia="Times New Roman"/>
          <w:color w:val="000000"/>
        </w:rPr>
        <w:t xml:space="preserve"> </w:t>
      </w:r>
      <w:r w:rsidRPr="002E71E4">
        <w:rPr>
          <w:rFonts w:eastAsia="Times New Roman"/>
          <w:color w:val="000000"/>
        </w:rPr>
        <w:t>AR rata-rata adalah pengembalian rata-rata</w:t>
      </w:r>
      <w:r>
        <w:rPr>
          <w:rFonts w:eastAsia="Times New Roman"/>
          <w:color w:val="000000"/>
        </w:rPr>
        <w:t xml:space="preserve"> </w:t>
      </w:r>
      <w:r w:rsidRPr="002E71E4">
        <w:rPr>
          <w:rFonts w:eastAsia="Times New Roman"/>
          <w:i/>
          <w:iCs/>
          <w:color w:val="000000"/>
        </w:rPr>
        <w:t>time-series</w:t>
      </w:r>
      <w:r>
        <w:rPr>
          <w:rFonts w:eastAsia="Times New Roman"/>
          <w:color w:val="000000"/>
        </w:rPr>
        <w:t xml:space="preserve"> </w:t>
      </w:r>
      <w:r w:rsidRPr="002E71E4">
        <w:rPr>
          <w:rFonts w:eastAsia="Times New Roman"/>
          <w:color w:val="000000"/>
        </w:rPr>
        <w:t>untuk periode estimasi.</w:t>
      </w:r>
    </w:p>
    <w:p w:rsidR="00A83A8E" w:rsidRDefault="00A83A8E" w:rsidP="00C71940">
      <w:pPr>
        <w:widowControl w:val="0"/>
        <w:spacing w:line="480" w:lineRule="auto"/>
        <w:ind w:firstLine="720"/>
        <w:jc w:val="both"/>
        <w:rPr>
          <w:rFonts w:eastAsia="Times New Roman"/>
          <w:color w:val="000000"/>
        </w:rPr>
      </w:pPr>
      <w:r w:rsidRPr="00901865">
        <w:rPr>
          <w:rFonts w:eastAsia="Times New Roman"/>
          <w:b/>
          <w:bCs/>
          <w:color w:val="000000"/>
        </w:rPr>
        <w:t>Model 1:</w:t>
      </w:r>
      <w:r w:rsidR="00494F59">
        <w:rPr>
          <w:rFonts w:eastAsia="Times New Roman"/>
          <w:color w:val="000000"/>
        </w:rPr>
        <w:t xml:space="preserve"> Dalam model ini kajian ini</w:t>
      </w:r>
      <w:r w:rsidR="00687AC8">
        <w:rPr>
          <w:rFonts w:eastAsia="Times New Roman"/>
          <w:color w:val="000000"/>
        </w:rPr>
        <w:t xml:space="preserve"> mencoba menganalisis</w:t>
      </w:r>
      <w:r>
        <w:rPr>
          <w:rFonts w:eastAsia="Times New Roman"/>
          <w:color w:val="000000"/>
        </w:rPr>
        <w:t xml:space="preserve"> apakah terdapat pengembalian saham abnormal. </w:t>
      </w:r>
      <w:r w:rsidRPr="0055759E">
        <w:rPr>
          <w:rFonts w:eastAsia="Times New Roman"/>
          <w:color w:val="000000"/>
        </w:rPr>
        <w:t>Studi ini menerapkan ukuran AR dan kumulatif abnormal return (CAR) di sekitar tanggal kejadian</w:t>
      </w:r>
      <w:r>
        <w:rPr>
          <w:rFonts w:eastAsia="Times New Roman"/>
          <w:color w:val="000000"/>
        </w:rPr>
        <w:t xml:space="preserve">. </w:t>
      </w:r>
      <w:r w:rsidRPr="00FA3CF2">
        <w:rPr>
          <w:rFonts w:eastAsia="Times New Roman"/>
          <w:color w:val="000000"/>
        </w:rPr>
        <w:t xml:space="preserve">AR diukur sebagai perbedaan antara realisasi atau pengembalian aktual pada hari acara </w:t>
      </w:r>
      <w:r w:rsidRPr="0055759E">
        <w:rPr>
          <w:rFonts w:ascii="AdvOT44ee9141.I" w:eastAsiaTheme="minorHAnsi" w:hAnsi="AdvOT44ee9141.I" w:cs="AdvOT44ee9141.I"/>
          <w:i/>
          <w:iCs/>
          <w:lang w:eastAsia="en-US"/>
        </w:rPr>
        <w:t>R</w:t>
      </w:r>
      <w:r w:rsidRPr="0055759E">
        <w:rPr>
          <w:rFonts w:ascii="Times-Italic" w:eastAsiaTheme="minorHAnsi" w:hAnsi="Times-Italic" w:cs="AdvOT44ee9141.I"/>
          <w:i/>
          <w:iCs/>
          <w:sz w:val="20"/>
          <w:szCs w:val="20"/>
          <w:lang w:eastAsia="en-US"/>
        </w:rPr>
        <w:t>k</w:t>
      </w:r>
      <w:r w:rsidRPr="0055759E">
        <w:rPr>
          <w:rFonts w:ascii="Times-Italic" w:eastAsiaTheme="minorHAnsi" w:hAnsi="Times-Italic" w:cs="AdvMacMthIt"/>
          <w:i/>
          <w:iCs/>
          <w:sz w:val="20"/>
          <w:szCs w:val="20"/>
          <w:lang w:eastAsia="en-US"/>
        </w:rPr>
        <w:t>,</w:t>
      </w:r>
      <w:r w:rsidRPr="0055759E">
        <w:rPr>
          <w:rFonts w:ascii="Times-Italic" w:eastAsiaTheme="minorHAnsi" w:hAnsi="Times-Italic" w:cs="AdvOT44ee9141.I"/>
          <w:i/>
          <w:iCs/>
          <w:sz w:val="20"/>
          <w:szCs w:val="20"/>
          <w:lang w:eastAsia="en-US"/>
        </w:rPr>
        <w:t>t</w:t>
      </w:r>
      <w:r w:rsidRPr="00FA3CF2">
        <w:rPr>
          <w:rFonts w:eastAsia="Times New Roman"/>
          <w:color w:val="000000"/>
        </w:rPr>
        <w:t xml:space="preserve"> dan pengembalian yang diharapkan </w:t>
      </w:r>
      <w:r w:rsidRPr="00FA3CF2">
        <w:rPr>
          <w:rFonts w:ascii="AdvOT44ee9141.I" w:eastAsiaTheme="minorHAnsi" w:hAnsi="AdvOT44ee9141.I" w:cs="AdvOT44ee9141.I"/>
          <w:i/>
          <w:iCs/>
          <w:lang w:eastAsia="en-US"/>
        </w:rPr>
        <w:t>E</w:t>
      </w:r>
      <w:r w:rsidRPr="00FA3CF2">
        <w:rPr>
          <w:rFonts w:eastAsia="Times New Roman"/>
          <w:i/>
          <w:iCs/>
          <w:color w:val="000000"/>
        </w:rPr>
        <w:t>[</w:t>
      </w:r>
      <w:r w:rsidRPr="00FA3CF2">
        <w:rPr>
          <w:rFonts w:ascii="AdvOT44ee9141.I" w:eastAsiaTheme="minorHAnsi" w:hAnsi="AdvOT44ee9141.I" w:cs="AdvOT44ee9141.I"/>
          <w:i/>
          <w:iCs/>
          <w:lang w:eastAsia="en-US"/>
        </w:rPr>
        <w:t>R</w:t>
      </w:r>
      <w:r w:rsidRPr="00FA3CF2">
        <w:rPr>
          <w:rFonts w:ascii="Times-Italic" w:eastAsiaTheme="minorHAnsi" w:hAnsi="Times-Italic" w:cs="AdvOT44ee9141.I"/>
          <w:i/>
          <w:iCs/>
          <w:sz w:val="20"/>
          <w:szCs w:val="20"/>
          <w:lang w:eastAsia="en-US"/>
        </w:rPr>
        <w:t>k</w:t>
      </w:r>
      <w:r w:rsidRPr="00FA3CF2">
        <w:rPr>
          <w:rFonts w:ascii="Times-Italic" w:eastAsiaTheme="minorHAnsi" w:hAnsi="Times-Italic" w:cs="AdvMacMthIt"/>
          <w:i/>
          <w:iCs/>
          <w:sz w:val="20"/>
          <w:szCs w:val="20"/>
          <w:lang w:eastAsia="en-US"/>
        </w:rPr>
        <w:t>,</w:t>
      </w:r>
      <w:r w:rsidRPr="00FA3CF2">
        <w:rPr>
          <w:rFonts w:ascii="Times-Italic" w:eastAsiaTheme="minorHAnsi" w:hAnsi="Times-Italic" w:cs="AdvOT44ee9141.I"/>
          <w:i/>
          <w:iCs/>
          <w:sz w:val="20"/>
          <w:szCs w:val="20"/>
          <w:lang w:eastAsia="en-US"/>
        </w:rPr>
        <w:t>t</w:t>
      </w:r>
      <w:r w:rsidRPr="00FA3CF2">
        <w:rPr>
          <w:rFonts w:eastAsia="Times New Roman"/>
          <w:i/>
          <w:iCs/>
          <w:color w:val="000000"/>
        </w:rPr>
        <w:t>]</w:t>
      </w:r>
      <w:r>
        <w:rPr>
          <w:rFonts w:eastAsia="Times New Roman"/>
          <w:i/>
          <w:iCs/>
          <w:color w:val="000000"/>
        </w:rPr>
        <w:t xml:space="preserve">, </w:t>
      </w:r>
      <w:r w:rsidRPr="00FA3CF2">
        <w:rPr>
          <w:rFonts w:eastAsia="Times New Roman"/>
          <w:color w:val="000000"/>
        </w:rPr>
        <w:t xml:space="preserve">yang merupakan pengembalian normal </w:t>
      </w:r>
      <w:r>
        <w:rPr>
          <w:rFonts w:eastAsia="Times New Roman"/>
          <w:color w:val="000000"/>
        </w:rPr>
        <w:t>saham sektor manufaktur</w:t>
      </w:r>
      <w:r w:rsidRPr="00FA3CF2">
        <w:rPr>
          <w:rFonts w:eastAsia="Times New Roman"/>
          <w:color w:val="000000"/>
        </w:rPr>
        <w:t>:</w:t>
      </w:r>
    </w:p>
    <w:p w:rsidR="00A83A8E" w:rsidRDefault="00A83A8E" w:rsidP="00A83A8E">
      <w:pPr>
        <w:widowControl w:val="0"/>
        <w:ind w:firstLine="202"/>
        <w:jc w:val="both"/>
        <w:rPr>
          <w:rFonts w:eastAsia="Times New Roman"/>
          <w:color w:val="000000"/>
        </w:rPr>
      </w:pPr>
    </w:p>
    <w:p w:rsidR="00A83A8E" w:rsidRDefault="00A83A8E" w:rsidP="00607781">
      <w:pPr>
        <w:autoSpaceDE w:val="0"/>
        <w:autoSpaceDN w:val="0"/>
        <w:adjustRightInd w:val="0"/>
        <w:ind w:firstLine="2610"/>
        <w:rPr>
          <w:rFonts w:eastAsia="Times New Roman"/>
          <w:i/>
          <w:iCs/>
          <w:color w:val="000000"/>
        </w:rPr>
      </w:pPr>
      <w:r w:rsidRPr="00FA3CF2">
        <w:rPr>
          <w:rFonts w:ascii="AdvOT44ee9141.I" w:eastAsiaTheme="minorHAnsi" w:hAnsi="AdvOT44ee9141.I" w:cs="AdvOT44ee9141.I"/>
          <w:i/>
          <w:iCs/>
          <w:lang w:eastAsia="en-US"/>
        </w:rPr>
        <w:t>AR</w:t>
      </w:r>
      <w:r w:rsidRPr="00FA3CF2">
        <w:rPr>
          <w:rFonts w:ascii="Times-Italic" w:eastAsiaTheme="minorHAnsi" w:hAnsi="Times-Italic" w:cs="AdvOT44ee9141.I"/>
          <w:i/>
          <w:iCs/>
          <w:sz w:val="20"/>
          <w:szCs w:val="20"/>
          <w:lang w:eastAsia="en-US"/>
        </w:rPr>
        <w:t>k</w:t>
      </w:r>
      <w:r w:rsidRPr="00FA3CF2">
        <w:rPr>
          <w:rFonts w:ascii="Times-Italic" w:eastAsiaTheme="minorHAnsi" w:hAnsi="Times-Italic" w:cs="AdvMacMthIt"/>
          <w:i/>
          <w:iCs/>
          <w:sz w:val="20"/>
          <w:szCs w:val="20"/>
          <w:lang w:eastAsia="en-US"/>
        </w:rPr>
        <w:t>,</w:t>
      </w:r>
      <w:r w:rsidRPr="00FA3CF2">
        <w:rPr>
          <w:rFonts w:ascii="Times-Italic" w:eastAsiaTheme="minorHAnsi" w:hAnsi="Times-Italic" w:cs="AdvOT44ee9141.I"/>
          <w:i/>
          <w:iCs/>
          <w:sz w:val="20"/>
          <w:szCs w:val="20"/>
          <w:lang w:eastAsia="en-US"/>
        </w:rPr>
        <w:t xml:space="preserve">t </w:t>
      </w:r>
      <w:r w:rsidRPr="00FA3CF2">
        <w:rPr>
          <w:rFonts w:ascii="AdvOT44ee9141.I" w:eastAsiaTheme="minorHAnsi" w:hAnsi="AdvOT44ee9141.I" w:cs="AdvOT44ee9141.I"/>
          <w:i/>
          <w:iCs/>
          <w:lang w:eastAsia="en-US"/>
        </w:rPr>
        <w:t>=</w:t>
      </w:r>
      <w:r w:rsidRPr="00FA3CF2">
        <w:rPr>
          <w:rFonts w:ascii="AdvMacMthSyN" w:eastAsiaTheme="minorHAnsi" w:hAnsi="AdvMacMthSyN" w:cs="AdvMacMthSyN"/>
          <w:i/>
          <w:iCs/>
          <w:lang w:eastAsia="en-US"/>
        </w:rPr>
        <w:t xml:space="preserve"> </w:t>
      </w:r>
      <w:r w:rsidRPr="00FA3CF2">
        <w:rPr>
          <w:rFonts w:ascii="AdvOT44ee9141.I" w:eastAsiaTheme="minorHAnsi" w:hAnsi="AdvOT44ee9141.I" w:cs="AdvOT44ee9141.I"/>
          <w:i/>
          <w:iCs/>
          <w:lang w:eastAsia="en-US"/>
        </w:rPr>
        <w:t>R</w:t>
      </w:r>
      <w:r w:rsidRPr="00FA3CF2">
        <w:rPr>
          <w:rFonts w:ascii="Times-Italic" w:eastAsiaTheme="minorHAnsi" w:hAnsi="Times-Italic" w:cs="AdvOT44ee9141.I"/>
          <w:i/>
          <w:iCs/>
          <w:sz w:val="20"/>
          <w:szCs w:val="20"/>
          <w:lang w:eastAsia="en-US"/>
        </w:rPr>
        <w:t>k</w:t>
      </w:r>
      <w:r w:rsidRPr="00FA3CF2">
        <w:rPr>
          <w:rFonts w:ascii="Times-Italic" w:eastAsiaTheme="minorHAnsi" w:hAnsi="Times-Italic" w:cs="AdvMacMthIt"/>
          <w:i/>
          <w:iCs/>
          <w:sz w:val="20"/>
          <w:szCs w:val="20"/>
          <w:lang w:eastAsia="en-US"/>
        </w:rPr>
        <w:t>,</w:t>
      </w:r>
      <w:r w:rsidRPr="00FA3CF2">
        <w:rPr>
          <w:rFonts w:ascii="Times-Italic" w:eastAsiaTheme="minorHAnsi" w:hAnsi="Times-Italic" w:cs="AdvOT44ee9141.I"/>
          <w:i/>
          <w:iCs/>
          <w:sz w:val="20"/>
          <w:szCs w:val="20"/>
          <w:lang w:eastAsia="en-US"/>
        </w:rPr>
        <w:t xml:space="preserve">t </w:t>
      </w:r>
      <w:r w:rsidRPr="00FA3CF2">
        <w:rPr>
          <w:rFonts w:ascii="AdvOT44ee9141.I+20" w:eastAsiaTheme="minorHAnsi" w:hAnsi="AdvOT44ee9141.I+20" w:cs="AdvOT44ee9141.I+20"/>
          <w:i/>
          <w:iCs/>
          <w:lang w:eastAsia="en-US"/>
        </w:rPr>
        <w:t xml:space="preserve">– </w:t>
      </w:r>
      <w:r w:rsidRPr="00FA3CF2">
        <w:rPr>
          <w:rFonts w:ascii="AdvOT44ee9141.I" w:eastAsiaTheme="minorHAnsi" w:hAnsi="AdvOT44ee9141.I" w:cs="AdvOT44ee9141.I"/>
          <w:i/>
          <w:iCs/>
          <w:lang w:eastAsia="en-US"/>
        </w:rPr>
        <w:t>E</w:t>
      </w:r>
      <w:r w:rsidRPr="00FA3CF2">
        <w:rPr>
          <w:rFonts w:eastAsia="Times New Roman"/>
          <w:i/>
          <w:iCs/>
          <w:color w:val="000000"/>
        </w:rPr>
        <w:t>[</w:t>
      </w:r>
      <w:r w:rsidRPr="00FA3CF2">
        <w:rPr>
          <w:rFonts w:ascii="AdvOT44ee9141.I" w:eastAsiaTheme="minorHAnsi" w:hAnsi="AdvOT44ee9141.I" w:cs="AdvOT44ee9141.I"/>
          <w:i/>
          <w:iCs/>
          <w:lang w:eastAsia="en-US"/>
        </w:rPr>
        <w:t>R</w:t>
      </w:r>
      <w:r w:rsidRPr="00FA3CF2">
        <w:rPr>
          <w:rFonts w:ascii="Times-Italic" w:eastAsiaTheme="minorHAnsi" w:hAnsi="Times-Italic" w:cs="AdvOT44ee9141.I"/>
          <w:i/>
          <w:iCs/>
          <w:sz w:val="20"/>
          <w:szCs w:val="20"/>
          <w:lang w:eastAsia="en-US"/>
        </w:rPr>
        <w:t>k</w:t>
      </w:r>
      <w:r w:rsidRPr="00FA3CF2">
        <w:rPr>
          <w:rFonts w:ascii="Times-Italic" w:eastAsiaTheme="minorHAnsi" w:hAnsi="Times-Italic" w:cs="AdvMacMthIt"/>
          <w:i/>
          <w:iCs/>
          <w:sz w:val="20"/>
          <w:szCs w:val="20"/>
          <w:lang w:eastAsia="en-US"/>
        </w:rPr>
        <w:t>,</w:t>
      </w:r>
      <w:r w:rsidRPr="00FA3CF2">
        <w:rPr>
          <w:rFonts w:ascii="Times-Italic" w:eastAsiaTheme="minorHAnsi" w:hAnsi="Times-Italic" w:cs="AdvOT44ee9141.I"/>
          <w:i/>
          <w:iCs/>
          <w:sz w:val="20"/>
          <w:szCs w:val="20"/>
          <w:lang w:eastAsia="en-US"/>
        </w:rPr>
        <w:t>t</w:t>
      </w:r>
      <w:r w:rsidRPr="00FA3CF2">
        <w:rPr>
          <w:rFonts w:eastAsia="Times New Roman"/>
          <w:i/>
          <w:iCs/>
          <w:color w:val="000000"/>
        </w:rPr>
        <w:t>]</w:t>
      </w:r>
    </w:p>
    <w:p w:rsidR="00A83A8E" w:rsidRDefault="00A83A8E" w:rsidP="00A83A8E">
      <w:pPr>
        <w:autoSpaceDE w:val="0"/>
        <w:autoSpaceDN w:val="0"/>
        <w:adjustRightInd w:val="0"/>
        <w:ind w:firstLine="180"/>
        <w:rPr>
          <w:rFonts w:ascii="AdvOT44ee9141.I" w:eastAsiaTheme="minorHAnsi" w:hAnsi="AdvOT44ee9141.I" w:cs="AdvOT44ee9141.I"/>
          <w:i/>
          <w:iCs/>
          <w:lang w:eastAsia="en-US"/>
        </w:rPr>
      </w:pPr>
    </w:p>
    <w:p w:rsidR="00A83A8E" w:rsidRPr="006C5DCC" w:rsidRDefault="00472269" w:rsidP="00C71940">
      <w:pPr>
        <w:autoSpaceDE w:val="0"/>
        <w:autoSpaceDN w:val="0"/>
        <w:adjustRightInd w:val="0"/>
        <w:spacing w:line="480" w:lineRule="auto"/>
        <w:ind w:firstLine="720"/>
        <w:jc w:val="both"/>
        <w:rPr>
          <w:rFonts w:ascii="AdvOT44ee9141.I" w:eastAsiaTheme="minorHAnsi" w:hAnsi="AdvOT44ee9141.I" w:cs="AdvOT44ee9141.I"/>
          <w:i/>
          <w:iCs/>
          <w:lang w:eastAsia="en-US"/>
        </w:rPr>
      </w:pPr>
      <w:r w:rsidRPr="008C62C0">
        <w:rPr>
          <w:noProof/>
          <w:lang w:val="id-ID" w:eastAsia="id-ID"/>
        </w:rPr>
        <w:lastRenderedPageBreak/>
        <w:drawing>
          <wp:anchor distT="0" distB="0" distL="114300" distR="114300" simplePos="0" relativeHeight="251659264" behindDoc="1" locked="0" layoutInCell="1" allowOverlap="1" wp14:anchorId="2D37CD6D" wp14:editId="50D09435">
            <wp:simplePos x="0" y="0"/>
            <wp:positionH relativeFrom="column">
              <wp:posOffset>2684145</wp:posOffset>
            </wp:positionH>
            <wp:positionV relativeFrom="paragraph">
              <wp:posOffset>1650365</wp:posOffset>
            </wp:positionV>
            <wp:extent cx="1371600" cy="414020"/>
            <wp:effectExtent l="0" t="0" r="0" b="5080"/>
            <wp:wrapTopAndBottom/>
            <wp:docPr id="8"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D3AB4B-F221-44EA-AB9D-EAABEEF72C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3D3AB4B-F221-44EA-AB9D-EAABEEF72C8B}"/>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371600" cy="414020"/>
                    </a:xfrm>
                    <a:prstGeom prst="rect">
                      <a:avLst/>
                    </a:prstGeom>
                  </pic:spPr>
                </pic:pic>
              </a:graphicData>
            </a:graphic>
            <wp14:sizeRelH relativeFrom="margin">
              <wp14:pctWidth>0</wp14:pctWidth>
            </wp14:sizeRelH>
            <wp14:sizeRelV relativeFrom="margin">
              <wp14:pctHeight>0</wp14:pctHeight>
            </wp14:sizeRelV>
          </wp:anchor>
        </w:drawing>
      </w:r>
      <w:r w:rsidR="00A83A8E" w:rsidRPr="00901865">
        <w:rPr>
          <w:rFonts w:eastAsia="Times New Roman"/>
          <w:b/>
          <w:bCs/>
          <w:color w:val="000000"/>
        </w:rPr>
        <w:t>Model 2:</w:t>
      </w:r>
      <w:r w:rsidR="00A83A8E">
        <w:rPr>
          <w:rFonts w:eastAsia="Times New Roman"/>
          <w:color w:val="000000"/>
        </w:rPr>
        <w:t xml:space="preserve"> Untuk penelitian lebih lanjut, </w:t>
      </w:r>
      <w:r w:rsidR="00A83A8E" w:rsidRPr="00FA3CF2">
        <w:rPr>
          <w:rFonts w:eastAsia="Times New Roman"/>
          <w:color w:val="000000"/>
        </w:rPr>
        <w:t xml:space="preserve">penelitian ini menggunakan AR yang disesuaikan rata-rata, volume abnormal (AV), spread bid-ask relatif, dan volatilitas </w:t>
      </w:r>
      <w:r w:rsidR="00A83A8E">
        <w:rPr>
          <w:rFonts w:eastAsia="Times New Roman"/>
          <w:color w:val="000000"/>
        </w:rPr>
        <w:t>harga</w:t>
      </w:r>
      <w:r w:rsidR="00A83A8E" w:rsidRPr="00FA3CF2">
        <w:rPr>
          <w:rFonts w:eastAsia="Times New Roman"/>
          <w:color w:val="000000"/>
        </w:rPr>
        <w:t xml:space="preserve"> sebagai variabel dependen untuk </w:t>
      </w:r>
      <w:r w:rsidR="00A83A8E">
        <w:rPr>
          <w:rFonts w:eastAsia="Times New Roman"/>
          <w:color w:val="000000"/>
        </w:rPr>
        <w:t>mencaritahu</w:t>
      </w:r>
      <w:r w:rsidR="00A83A8E" w:rsidRPr="00FA3CF2">
        <w:rPr>
          <w:rFonts w:eastAsia="Times New Roman"/>
          <w:color w:val="000000"/>
        </w:rPr>
        <w:t xml:space="preserve"> apakah </w:t>
      </w:r>
      <w:r w:rsidR="00A83A8E">
        <w:rPr>
          <w:rFonts w:eastAsia="Times New Roman"/>
          <w:color w:val="000000"/>
        </w:rPr>
        <w:t xml:space="preserve">perubahan kebijakan </w:t>
      </w:r>
      <w:r w:rsidR="00867176">
        <w:rPr>
          <w:rFonts w:eastAsia="Times New Roman"/>
          <w:color w:val="000000"/>
        </w:rPr>
        <w:t>BEA</w:t>
      </w:r>
      <w:r w:rsidR="00A83A8E">
        <w:rPr>
          <w:rFonts w:eastAsia="Times New Roman"/>
          <w:color w:val="000000"/>
        </w:rPr>
        <w:t xml:space="preserve"> masuk impor menghasilkan perubahan</w:t>
      </w:r>
      <w:r w:rsidR="00A83A8E" w:rsidRPr="00FA3CF2">
        <w:rPr>
          <w:rFonts w:eastAsia="Times New Roman"/>
          <w:color w:val="000000"/>
        </w:rPr>
        <w:t xml:space="preserve"> pada keempat variabel.</w:t>
      </w:r>
      <w:r w:rsidR="00A83A8E">
        <w:rPr>
          <w:rFonts w:ascii="AdvOT44ee9141.I" w:eastAsiaTheme="minorHAnsi" w:hAnsi="AdvOT44ee9141.I" w:cs="AdvOT44ee9141.I"/>
          <w:i/>
          <w:iCs/>
          <w:lang w:eastAsia="en-US"/>
        </w:rPr>
        <w:t xml:space="preserve"> </w:t>
      </w:r>
      <w:r w:rsidR="00A83A8E" w:rsidRPr="00FA3CF2">
        <w:rPr>
          <w:rFonts w:eastAsia="Times New Roman"/>
          <w:color w:val="000000"/>
        </w:rPr>
        <w:t>Untuk menghitung pengembalian yang disesuaikan rata-rat</w:t>
      </w:r>
      <w:r w:rsidR="00A83A8E">
        <w:rPr>
          <w:rFonts w:eastAsia="Times New Roman"/>
          <w:color w:val="000000"/>
        </w:rPr>
        <w:t>a menggunakan metodologi sebagai berikut:</w:t>
      </w:r>
    </w:p>
    <w:p w:rsidR="00A83A8E" w:rsidRDefault="00A83A8E" w:rsidP="00A83A8E">
      <w:pPr>
        <w:widowControl w:val="0"/>
        <w:ind w:firstLine="202"/>
        <w:jc w:val="both"/>
        <w:rPr>
          <w:rFonts w:eastAsia="Times New Roman"/>
          <w:color w:val="000000"/>
        </w:rPr>
      </w:pPr>
    </w:p>
    <w:p w:rsidR="00A83A8E" w:rsidRDefault="00A83A8E" w:rsidP="00C71940">
      <w:pPr>
        <w:widowControl w:val="0"/>
        <w:spacing w:line="480" w:lineRule="auto"/>
        <w:ind w:firstLine="720"/>
        <w:jc w:val="both"/>
        <w:rPr>
          <w:rFonts w:eastAsia="Times New Roman"/>
          <w:color w:val="000000"/>
        </w:rPr>
      </w:pPr>
      <w:r>
        <w:rPr>
          <w:rFonts w:eastAsia="Times New Roman"/>
          <w:color w:val="000000"/>
        </w:rPr>
        <w:t xml:space="preserve">Dari model tersebut </w:t>
      </w:r>
      <w:r w:rsidRPr="00AB1521">
        <w:rPr>
          <w:rFonts w:eastAsia="Times New Roman"/>
          <w:color w:val="000000"/>
        </w:rPr>
        <w:t xml:space="preserve">di mana </w:t>
      </w:r>
      <w:r w:rsidRPr="00AB1521">
        <w:rPr>
          <w:rFonts w:eastAsia="Times New Roman"/>
          <w:i/>
          <w:iCs/>
          <w:color w:val="000000"/>
        </w:rPr>
        <w:t>Ri,t</w:t>
      </w:r>
      <w:r w:rsidRPr="00AB1521">
        <w:rPr>
          <w:rFonts w:eastAsia="Times New Roman"/>
          <w:color w:val="000000"/>
        </w:rPr>
        <w:t xml:space="preserve"> adalah </w:t>
      </w:r>
      <w:r>
        <w:rPr>
          <w:rFonts w:eastAsia="Times New Roman"/>
          <w:color w:val="000000"/>
        </w:rPr>
        <w:t xml:space="preserve">return </w:t>
      </w:r>
      <w:r w:rsidRPr="00AB1521">
        <w:rPr>
          <w:rFonts w:eastAsia="Times New Roman"/>
          <w:color w:val="000000"/>
        </w:rPr>
        <w:t>perusahaan pada waktu</w:t>
      </w:r>
      <w:r w:rsidRPr="00AB1521">
        <w:rPr>
          <w:rFonts w:eastAsia="Times New Roman"/>
          <w:i/>
          <w:iCs/>
          <w:color w:val="000000"/>
        </w:rPr>
        <w:t xml:space="preserve"> t</w:t>
      </w:r>
      <w:r w:rsidRPr="00AB1521">
        <w:rPr>
          <w:rFonts w:eastAsia="Times New Roman"/>
          <w:color w:val="000000"/>
        </w:rPr>
        <w:t xml:space="preserve">, dan </w:t>
      </w:r>
      <w:r w:rsidRPr="00AB1521">
        <w:rPr>
          <w:rFonts w:eastAsia="Times New Roman"/>
          <w:i/>
          <w:iCs/>
          <w:color w:val="000000"/>
        </w:rPr>
        <w:t>Ri</w:t>
      </w:r>
      <w:r w:rsidRPr="00AB1521">
        <w:rPr>
          <w:rFonts w:eastAsia="Times New Roman"/>
          <w:color w:val="000000"/>
        </w:rPr>
        <w:t xml:space="preserve"> adalah pengembalian rata-rata </w:t>
      </w:r>
      <w:r w:rsidRPr="00AB1521">
        <w:rPr>
          <w:rFonts w:eastAsia="Times New Roman"/>
          <w:i/>
          <w:iCs/>
          <w:color w:val="000000"/>
        </w:rPr>
        <w:t>time-series</w:t>
      </w:r>
      <w:r w:rsidRPr="00AB1521">
        <w:rPr>
          <w:rFonts w:eastAsia="Times New Roman"/>
          <w:color w:val="000000"/>
        </w:rPr>
        <w:t xml:space="preserve"> untuk periode estimasi.</w:t>
      </w:r>
      <w:r>
        <w:rPr>
          <w:rFonts w:eastAsia="Times New Roman"/>
          <w:color w:val="000000"/>
        </w:rPr>
        <w:t xml:space="preserve"> </w:t>
      </w:r>
    </w:p>
    <w:p w:rsidR="00A83A8E" w:rsidRDefault="00A83A8E" w:rsidP="00A83A8E">
      <w:pPr>
        <w:widowControl w:val="0"/>
        <w:ind w:firstLine="202"/>
        <w:jc w:val="both"/>
        <w:rPr>
          <w:rFonts w:eastAsia="Times New Roman"/>
          <w:color w:val="000000"/>
        </w:rPr>
      </w:pPr>
    </w:p>
    <w:p w:rsidR="00A83A8E" w:rsidRDefault="00A83A8E" w:rsidP="00C71940">
      <w:pPr>
        <w:widowControl w:val="0"/>
        <w:spacing w:line="480" w:lineRule="auto"/>
        <w:ind w:firstLine="720"/>
        <w:jc w:val="both"/>
        <w:rPr>
          <w:rFonts w:eastAsia="Times New Roman"/>
          <w:color w:val="000000"/>
        </w:rPr>
      </w:pPr>
      <w:r w:rsidRPr="008C62C0">
        <w:rPr>
          <w:noProof/>
          <w:lang w:val="id-ID" w:eastAsia="id-ID"/>
        </w:rPr>
        <w:drawing>
          <wp:anchor distT="0" distB="0" distL="114300" distR="114300" simplePos="0" relativeHeight="251660288" behindDoc="1" locked="0" layoutInCell="1" allowOverlap="1" wp14:anchorId="6A5D56C0" wp14:editId="19D5E203">
            <wp:simplePos x="0" y="0"/>
            <wp:positionH relativeFrom="column">
              <wp:posOffset>1647825</wp:posOffset>
            </wp:positionH>
            <wp:positionV relativeFrom="paragraph">
              <wp:posOffset>932815</wp:posOffset>
            </wp:positionV>
            <wp:extent cx="1360170" cy="698500"/>
            <wp:effectExtent l="0" t="0" r="0" b="6350"/>
            <wp:wrapTopAndBottom/>
            <wp:docPr id="10" name="Picture 6" descr="A picture containing object, clock&#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8C8440-0360-4D87-9278-25BDE88FD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object, clock&#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8C8440-0360-4D87-9278-25BDE88FDB34}"/>
                        </a:ext>
                      </a:extLst>
                    </pic:cNvPr>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360170" cy="698500"/>
                    </a:xfrm>
                    <a:prstGeom prst="rect">
                      <a:avLst/>
                    </a:prstGeom>
                  </pic:spPr>
                </pic:pic>
              </a:graphicData>
            </a:graphic>
            <wp14:sizeRelH relativeFrom="margin">
              <wp14:pctWidth>0</wp14:pctWidth>
            </wp14:sizeRelH>
            <wp14:sizeRelV relativeFrom="margin">
              <wp14:pctHeight>0</wp14:pctHeight>
            </wp14:sizeRelV>
          </wp:anchor>
        </w:drawing>
      </w:r>
      <w:r w:rsidR="00472269">
        <w:rPr>
          <w:rFonts w:eastAsia="Times New Roman"/>
          <w:color w:val="000000"/>
        </w:rPr>
        <w:t>Pada tahap selanjutnya</w:t>
      </w:r>
      <w:r>
        <w:rPr>
          <w:rFonts w:eastAsia="Times New Roman"/>
          <w:color w:val="000000"/>
        </w:rPr>
        <w:t xml:space="preserve"> </w:t>
      </w:r>
      <w:r w:rsidR="00472269">
        <w:rPr>
          <w:rFonts w:eastAsia="Times New Roman"/>
          <w:color w:val="000000"/>
        </w:rPr>
        <w:t>penelitian ini</w:t>
      </w:r>
      <w:r w:rsidRPr="00AB1521">
        <w:rPr>
          <w:rFonts w:eastAsia="Times New Roman"/>
          <w:color w:val="000000"/>
        </w:rPr>
        <w:t xml:space="preserve"> menghitung AV, untuk menguji perubahan AV </w:t>
      </w:r>
      <w:r>
        <w:rPr>
          <w:rFonts w:eastAsia="Times New Roman"/>
          <w:color w:val="000000"/>
        </w:rPr>
        <w:t>setelah</w:t>
      </w:r>
      <w:r w:rsidRPr="00AB1521">
        <w:rPr>
          <w:rFonts w:eastAsia="Times New Roman"/>
          <w:color w:val="000000"/>
        </w:rPr>
        <w:t xml:space="preserve"> tanggal implementasi</w:t>
      </w:r>
      <w:r>
        <w:rPr>
          <w:rFonts w:eastAsia="Times New Roman"/>
          <w:color w:val="000000"/>
        </w:rPr>
        <w:t xml:space="preserve"> kebijakan</w:t>
      </w:r>
      <w:r w:rsidRPr="00AB1521">
        <w:rPr>
          <w:rFonts w:eastAsia="Times New Roman"/>
          <w:color w:val="000000"/>
        </w:rPr>
        <w:t>.</w:t>
      </w:r>
      <w:r>
        <w:rPr>
          <w:rFonts w:eastAsia="Times New Roman"/>
          <w:color w:val="000000"/>
        </w:rPr>
        <w:t xml:space="preserve"> </w:t>
      </w:r>
      <w:r w:rsidRPr="00FA3CF2">
        <w:rPr>
          <w:rFonts w:eastAsia="Times New Roman"/>
          <w:color w:val="000000"/>
        </w:rPr>
        <w:t>Untuk menghitung pengembalian yang disesuaikan rata-rat</w:t>
      </w:r>
      <w:r>
        <w:rPr>
          <w:rFonts w:eastAsia="Times New Roman"/>
          <w:color w:val="000000"/>
        </w:rPr>
        <w:t>a menggunakan metodologi sebagai berikut:</w:t>
      </w:r>
    </w:p>
    <w:p w:rsidR="00C71940" w:rsidRDefault="00C71940" w:rsidP="00472269">
      <w:pPr>
        <w:widowControl w:val="0"/>
        <w:ind w:firstLine="720"/>
        <w:jc w:val="both"/>
        <w:rPr>
          <w:rFonts w:eastAsia="Times New Roman"/>
          <w:color w:val="000000"/>
        </w:rPr>
      </w:pPr>
    </w:p>
    <w:p w:rsidR="00A83A8E" w:rsidRDefault="00A83A8E" w:rsidP="00C71940">
      <w:pPr>
        <w:widowControl w:val="0"/>
        <w:spacing w:line="480" w:lineRule="auto"/>
        <w:ind w:firstLine="720"/>
        <w:jc w:val="both"/>
        <w:rPr>
          <w:rFonts w:eastAsia="Times New Roman"/>
          <w:color w:val="000000"/>
        </w:rPr>
      </w:pPr>
      <w:r w:rsidRPr="007906CC">
        <w:rPr>
          <w:rFonts w:eastAsia="Times New Roman"/>
          <w:color w:val="000000"/>
        </w:rPr>
        <w:t>Vi adalah volume yang diharapkan berdasarkan volume perdagangan harian (V) untuk perusahaan yang sama yang dihitung selama periode estimasi</w:t>
      </w:r>
      <w:r>
        <w:rPr>
          <w:rFonts w:eastAsia="Times New Roman"/>
          <w:color w:val="000000"/>
        </w:rPr>
        <w:t xml:space="preserve">. </w:t>
      </w:r>
    </w:p>
    <w:p w:rsidR="00A83A8E" w:rsidRDefault="00C71940" w:rsidP="00C71940">
      <w:pPr>
        <w:widowControl w:val="0"/>
        <w:spacing w:line="480" w:lineRule="auto"/>
        <w:ind w:firstLine="720"/>
        <w:jc w:val="both"/>
        <w:rPr>
          <w:rFonts w:eastAsia="Times New Roman"/>
          <w:color w:val="000000"/>
        </w:rPr>
      </w:pPr>
      <w:r w:rsidRPr="008C62C0">
        <w:rPr>
          <w:b/>
          <w:bCs/>
          <w:noProof/>
          <w:sz w:val="26"/>
          <w:szCs w:val="26"/>
          <w:lang w:val="id-ID" w:eastAsia="id-ID"/>
        </w:rPr>
        <w:drawing>
          <wp:anchor distT="0" distB="0" distL="114300" distR="114300" simplePos="0" relativeHeight="251661312" behindDoc="0" locked="0" layoutInCell="1" allowOverlap="1" wp14:anchorId="3E116A50" wp14:editId="3D286005">
            <wp:simplePos x="0" y="0"/>
            <wp:positionH relativeFrom="column">
              <wp:posOffset>1066800</wp:posOffset>
            </wp:positionH>
            <wp:positionV relativeFrom="paragraph">
              <wp:posOffset>729615</wp:posOffset>
            </wp:positionV>
            <wp:extent cx="2838450" cy="502920"/>
            <wp:effectExtent l="0" t="0" r="0" b="0"/>
            <wp:wrapTopAndBottom/>
            <wp:docPr id="12" name="Picture 10" descr="A picture containing knif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EC819C-7B48-42DF-B346-F61D25C88F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A picture containing knif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7EC819C-7B48-42DF-B346-F61D25C88F75}"/>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838450" cy="502920"/>
                    </a:xfrm>
                    <a:prstGeom prst="rect">
                      <a:avLst/>
                    </a:prstGeom>
                  </pic:spPr>
                </pic:pic>
              </a:graphicData>
            </a:graphic>
            <wp14:sizeRelH relativeFrom="margin">
              <wp14:pctWidth>0</wp14:pctWidth>
            </wp14:sizeRelH>
            <wp14:sizeRelV relativeFrom="margin">
              <wp14:pctHeight>0</wp14:pctHeight>
            </wp14:sizeRelV>
          </wp:anchor>
        </w:drawing>
      </w:r>
      <w:r w:rsidR="00A83A8E" w:rsidRPr="007906CC">
        <w:rPr>
          <w:rFonts w:eastAsia="Times New Roman"/>
          <w:color w:val="000000"/>
        </w:rPr>
        <w:t xml:space="preserve">Ukuran lain likuiditas juga digunakan sebagai variabel dependen, untuk menguji pengaruh </w:t>
      </w:r>
      <w:r w:rsidR="00A83A8E">
        <w:rPr>
          <w:rFonts w:eastAsia="Times New Roman"/>
          <w:color w:val="000000"/>
        </w:rPr>
        <w:t xml:space="preserve">perubahan kebijakan </w:t>
      </w:r>
      <w:r w:rsidR="00867176">
        <w:rPr>
          <w:rFonts w:eastAsia="Times New Roman"/>
          <w:color w:val="000000"/>
        </w:rPr>
        <w:t>BEA</w:t>
      </w:r>
      <w:r w:rsidR="00A83A8E">
        <w:rPr>
          <w:rFonts w:eastAsia="Times New Roman"/>
          <w:color w:val="000000"/>
        </w:rPr>
        <w:t xml:space="preserve"> masuk Impor dan dihitung sebagai berikut:</w:t>
      </w:r>
    </w:p>
    <w:p w:rsidR="00A83A8E" w:rsidRDefault="00A83A8E" w:rsidP="00A83A8E">
      <w:pPr>
        <w:widowControl w:val="0"/>
        <w:ind w:firstLine="202"/>
        <w:jc w:val="both"/>
        <w:rPr>
          <w:rFonts w:eastAsia="Times New Roman"/>
          <w:color w:val="000000"/>
        </w:rPr>
      </w:pPr>
    </w:p>
    <w:p w:rsidR="00A83A8E" w:rsidRDefault="00C71940" w:rsidP="00C71940">
      <w:pPr>
        <w:widowControl w:val="0"/>
        <w:spacing w:line="480" w:lineRule="auto"/>
        <w:ind w:firstLine="720"/>
        <w:jc w:val="both"/>
        <w:rPr>
          <w:rFonts w:eastAsia="Times New Roman"/>
          <w:color w:val="000000"/>
        </w:rPr>
      </w:pPr>
      <w:r w:rsidRPr="008C62C0">
        <w:rPr>
          <w:b/>
          <w:bCs/>
          <w:i/>
          <w:iCs/>
          <w:noProof/>
          <w:sz w:val="26"/>
          <w:szCs w:val="26"/>
          <w:lang w:val="id-ID" w:eastAsia="id-ID"/>
        </w:rPr>
        <w:drawing>
          <wp:anchor distT="0" distB="0" distL="114300" distR="114300" simplePos="0" relativeHeight="251662336" behindDoc="1" locked="0" layoutInCell="1" allowOverlap="1" wp14:anchorId="4773DC50" wp14:editId="42D7D20A">
            <wp:simplePos x="0" y="0"/>
            <wp:positionH relativeFrom="column">
              <wp:posOffset>1076325</wp:posOffset>
            </wp:positionH>
            <wp:positionV relativeFrom="paragraph">
              <wp:posOffset>655320</wp:posOffset>
            </wp:positionV>
            <wp:extent cx="2781300" cy="614680"/>
            <wp:effectExtent l="0" t="0" r="0" b="0"/>
            <wp:wrapTopAndBottom/>
            <wp:docPr id="13" name="Picture 8" descr="A picture containing knif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14F0DE-1572-4DE0-A19D-5A9EB2FDCD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knif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14F0DE-1572-4DE0-A19D-5A9EB2FDCD85}"/>
                        </a:ext>
                      </a:extLst>
                    </pic:cNvPr>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2781300" cy="614680"/>
                    </a:xfrm>
                    <a:prstGeom prst="rect">
                      <a:avLst/>
                    </a:prstGeom>
                  </pic:spPr>
                </pic:pic>
              </a:graphicData>
            </a:graphic>
            <wp14:sizeRelH relativeFrom="margin">
              <wp14:pctWidth>0</wp14:pctWidth>
            </wp14:sizeRelH>
            <wp14:sizeRelV relativeFrom="margin">
              <wp14:pctHeight>0</wp14:pctHeight>
            </wp14:sizeRelV>
          </wp:anchor>
        </w:drawing>
      </w:r>
      <w:r w:rsidR="00A83A8E">
        <w:rPr>
          <w:rFonts w:eastAsia="Times New Roman"/>
          <w:color w:val="000000"/>
        </w:rPr>
        <w:t xml:space="preserve">Variabel terakhir, </w:t>
      </w:r>
      <w:r w:rsidR="00A83A8E" w:rsidRPr="007906CC">
        <w:rPr>
          <w:rFonts w:eastAsia="Times New Roman"/>
          <w:color w:val="000000"/>
        </w:rPr>
        <w:t xml:space="preserve">dampak </w:t>
      </w:r>
      <w:r w:rsidR="00A83A8E">
        <w:rPr>
          <w:rFonts w:eastAsia="Times New Roman"/>
          <w:color w:val="000000"/>
        </w:rPr>
        <w:t xml:space="preserve">perubahan kebijakan </w:t>
      </w:r>
      <w:r w:rsidR="00867176">
        <w:rPr>
          <w:rFonts w:eastAsia="Times New Roman"/>
          <w:color w:val="000000"/>
        </w:rPr>
        <w:t>BEA</w:t>
      </w:r>
      <w:r w:rsidR="00A83A8E">
        <w:rPr>
          <w:rFonts w:eastAsia="Times New Roman"/>
          <w:color w:val="000000"/>
        </w:rPr>
        <w:t xml:space="preserve"> masuk Impor </w:t>
      </w:r>
      <w:r w:rsidR="00A83A8E" w:rsidRPr="007906CC">
        <w:rPr>
          <w:rFonts w:eastAsia="Times New Roman"/>
          <w:color w:val="000000"/>
        </w:rPr>
        <w:t>pada volatilitas</w:t>
      </w:r>
      <w:r w:rsidR="00A83A8E">
        <w:rPr>
          <w:rFonts w:eastAsia="Times New Roman"/>
          <w:color w:val="000000"/>
        </w:rPr>
        <w:t xml:space="preserve"> harga dihitung sebagai berikut:</w:t>
      </w:r>
    </w:p>
    <w:p w:rsidR="00A83A8E" w:rsidRDefault="00A83A8E" w:rsidP="00BC5CB5">
      <w:pPr>
        <w:spacing w:line="480" w:lineRule="auto"/>
        <w:ind w:firstLine="720"/>
        <w:jc w:val="both"/>
      </w:pPr>
      <w:r w:rsidRPr="00CE5A69">
        <w:lastRenderedPageBreak/>
        <w:t>Peneliti</w:t>
      </w:r>
      <w:r w:rsidR="00C71940">
        <w:t>an</w:t>
      </w:r>
      <w:r w:rsidRPr="00CE5A69">
        <w:t xml:space="preserve"> </w:t>
      </w:r>
      <w:r w:rsidR="00472269">
        <w:t xml:space="preserve">ini </w:t>
      </w:r>
      <w:r w:rsidRPr="00CE5A69">
        <w:t>menggunaka</w:t>
      </w:r>
      <w:r w:rsidR="00C71940">
        <w:t xml:space="preserve">n uji normalitas data </w:t>
      </w:r>
      <w:r w:rsidRPr="00CE5A69">
        <w:t xml:space="preserve">dengan menggunakan Uji </w:t>
      </w:r>
      <w:r w:rsidRPr="00400096">
        <w:rPr>
          <w:i/>
          <w:iCs/>
        </w:rPr>
        <w:t>Kolmogorov-Smirnov</w:t>
      </w:r>
      <w:r w:rsidRPr="00CE5A69">
        <w:t xml:space="preserve"> untuk </w:t>
      </w:r>
      <w:r w:rsidR="00C71940">
        <w:t xml:space="preserve">memastikan bahwa </w:t>
      </w:r>
      <w:r w:rsidRPr="00CE5A69">
        <w:t>data terdistribusi normal.</w:t>
      </w:r>
      <w:r>
        <w:t xml:space="preserve"> Jika nilai </w:t>
      </w:r>
      <w:r w:rsidRPr="00400096">
        <w:rPr>
          <w:i/>
          <w:iCs/>
        </w:rPr>
        <w:t>sig</w:t>
      </w:r>
      <w:r>
        <w:t xml:space="preserve"> kurang dari 0,05 maka data tidak terdistribusi normal, sedangkan jika nilai </w:t>
      </w:r>
      <w:r w:rsidRPr="00400096">
        <w:rPr>
          <w:i/>
          <w:iCs/>
        </w:rPr>
        <w:t>sig</w:t>
      </w:r>
      <w:r>
        <w:t xml:space="preserve"> lebih dari 0,05 maka data terdistribusi normal. </w:t>
      </w:r>
      <w:r w:rsidRPr="00CE5A69">
        <w:t>Jika hasil uji menunjukkan sampel terdistribusi normal maka uji beda yang akan digunakan adalah uji parametrik, tetapi jika sampel tidak terdistribusi normal maka uji beda yang akan digunakan adalah uji non parametrik.</w:t>
      </w:r>
      <w:r>
        <w:t xml:space="preserve"> </w:t>
      </w:r>
      <w:r w:rsidRPr="00CE5A69">
        <w:t xml:space="preserve">Pengujian hipotesis akan menggunakan uji </w:t>
      </w:r>
      <w:r w:rsidRPr="00CE5A69">
        <w:rPr>
          <w:i/>
          <w:iCs/>
        </w:rPr>
        <w:t>Paired Sample T-Test</w:t>
      </w:r>
      <w:r w:rsidRPr="00CE5A69">
        <w:t xml:space="preserve"> jika sampel terdistribusi normal dan uji </w:t>
      </w:r>
      <w:r w:rsidRPr="00CE5A69">
        <w:rPr>
          <w:i/>
          <w:iCs/>
        </w:rPr>
        <w:t>Wilcoxon Signed Ranks Test</w:t>
      </w:r>
      <w:r w:rsidRPr="00CE5A69">
        <w:t xml:space="preserve"> jika sampel tidak terdistribusi normal.</w:t>
      </w:r>
    </w:p>
    <w:p w:rsidR="00E868C7" w:rsidRDefault="00E868C7" w:rsidP="00C71940">
      <w:pPr>
        <w:spacing w:line="480" w:lineRule="auto"/>
        <w:jc w:val="both"/>
      </w:pPr>
    </w:p>
    <w:p w:rsidR="005E57E2" w:rsidRDefault="005E57E2" w:rsidP="00A83A8E">
      <w:r>
        <w:br w:type="page"/>
      </w:r>
    </w:p>
    <w:p w:rsidR="00222F7E" w:rsidRDefault="005E57E2" w:rsidP="00222F7E">
      <w:pPr>
        <w:jc w:val="center"/>
        <w:rPr>
          <w:b/>
        </w:rPr>
      </w:pPr>
      <w:r w:rsidRPr="005E57E2">
        <w:rPr>
          <w:b/>
        </w:rPr>
        <w:lastRenderedPageBreak/>
        <w:t xml:space="preserve">BAB IV </w:t>
      </w:r>
    </w:p>
    <w:p w:rsidR="009E423A" w:rsidRDefault="009E423A" w:rsidP="00222F7E">
      <w:pPr>
        <w:jc w:val="center"/>
        <w:rPr>
          <w:b/>
        </w:rPr>
      </w:pPr>
    </w:p>
    <w:p w:rsidR="00A83A8E" w:rsidRDefault="005E57E2" w:rsidP="00222F7E">
      <w:pPr>
        <w:jc w:val="center"/>
        <w:rPr>
          <w:b/>
        </w:rPr>
      </w:pPr>
      <w:r w:rsidRPr="005E57E2">
        <w:rPr>
          <w:b/>
        </w:rPr>
        <w:t xml:space="preserve">ANALISIS </w:t>
      </w:r>
      <w:r>
        <w:rPr>
          <w:b/>
        </w:rPr>
        <w:t xml:space="preserve">HASIL </w:t>
      </w:r>
      <w:r w:rsidRPr="005E57E2">
        <w:rPr>
          <w:b/>
        </w:rPr>
        <w:t>PENELITIAN</w:t>
      </w:r>
      <w:r>
        <w:rPr>
          <w:b/>
        </w:rPr>
        <w:t xml:space="preserve"> DAN PEMBAHASAN</w:t>
      </w:r>
    </w:p>
    <w:p w:rsidR="005E57E2" w:rsidRDefault="005E57E2" w:rsidP="00A83A8E">
      <w:pPr>
        <w:rPr>
          <w:b/>
        </w:rPr>
      </w:pPr>
    </w:p>
    <w:p w:rsidR="00222F7E" w:rsidRDefault="00222F7E" w:rsidP="00A83A8E">
      <w:pPr>
        <w:rPr>
          <w:b/>
        </w:rPr>
      </w:pPr>
    </w:p>
    <w:p w:rsidR="00222F7E" w:rsidRDefault="00222F7E" w:rsidP="00A83A8E">
      <w:pPr>
        <w:rPr>
          <w:b/>
        </w:rPr>
      </w:pPr>
    </w:p>
    <w:p w:rsidR="005E57E2" w:rsidRDefault="00AE74C6" w:rsidP="00A83A8E">
      <w:pPr>
        <w:rPr>
          <w:b/>
        </w:rPr>
      </w:pPr>
      <w:r>
        <w:rPr>
          <w:b/>
        </w:rPr>
        <w:t>4.1. Gambaran Umum Objek Penelitian</w:t>
      </w:r>
    </w:p>
    <w:p w:rsidR="00AE74C6" w:rsidRDefault="00AE74C6" w:rsidP="00A83A8E">
      <w:pPr>
        <w:rPr>
          <w:b/>
        </w:rPr>
      </w:pPr>
    </w:p>
    <w:p w:rsidR="00AE74C6" w:rsidRDefault="00222F7E" w:rsidP="00222F7E">
      <w:pPr>
        <w:spacing w:line="480" w:lineRule="auto"/>
        <w:ind w:firstLine="720"/>
        <w:jc w:val="both"/>
      </w:pPr>
      <w:r>
        <w:t>Perusahaan yang bergerak dalam industri manufaktur dapat dikelompokkan menjadi tiga klaster besar yaitu: kelompok industri dasar &amp; kimia; kelompok aneka industri; dan kelompok industri barang konsumsi. Namun demikian setiap klaster yang ada di BEI masih dapat dikelompokkan lagi menjadi perusahaan-perusahaa</w:t>
      </w:r>
      <w:r w:rsidR="000D6ADE">
        <w:t>n yang menghasilkan barang hampi</w:t>
      </w:r>
      <w:r>
        <w:t>r s</w:t>
      </w:r>
      <w:r w:rsidR="000D6ADE">
        <w:t>ejenis. Oleh karena itu diberi kelompok dengan nama</w:t>
      </w:r>
      <w:r w:rsidR="00891145">
        <w:t xml:space="preserve"> sub</w:t>
      </w:r>
      <w:r>
        <w:t>sektor industri.</w:t>
      </w:r>
    </w:p>
    <w:p w:rsidR="000D6ADE" w:rsidRDefault="00222F7E" w:rsidP="00222F7E">
      <w:pPr>
        <w:spacing w:line="480" w:lineRule="auto"/>
        <w:ind w:firstLine="720"/>
        <w:jc w:val="both"/>
      </w:pPr>
      <w:r>
        <w:t xml:space="preserve">Untuk industri dasar dan kimia dibagi menjadi sembilan subsektor yaitu: Semen; Kayu &amp; Pengolahannya; Keramik, Porselen, dan Kaca; Plastik &amp; Kemasan; Pulp &amp; Kertas; Kimia; Logam &amp; Sejenisnya; Pakan Ternak; Industri Dasar &amp; Kimia lainnya. </w:t>
      </w:r>
      <w:r w:rsidRPr="00222F7E">
        <w:t xml:space="preserve">Sedangkan untuk industri barang konsumsi dikelompokkan menjadi enam </w:t>
      </w:r>
      <w:r>
        <w:t>subsektor</w:t>
      </w:r>
      <w:r w:rsidRPr="00222F7E">
        <w:t xml:space="preserve"> yakni: makanan &amp; minuman; </w:t>
      </w:r>
      <w:r>
        <w:t>rokok; peralatan rumah tangga; kosmetik &amp; keperluan rumah tangga; farmasi; dan lainnya. Pengelompokan paling akhir untuk Aneka Industri dibagi menjadi enam subsektor yakni: Otomotif &amp; Komponen; Tekstil dan Garmen; Mesin &amp; Alat Berat; Elektronika; Kabel; Alas Kaki.</w:t>
      </w:r>
    </w:p>
    <w:p w:rsidR="00222F7E" w:rsidRDefault="000D6ADE" w:rsidP="00F6452D">
      <w:pPr>
        <w:spacing w:line="480" w:lineRule="auto"/>
        <w:ind w:firstLine="720"/>
        <w:jc w:val="both"/>
      </w:pPr>
      <w:r>
        <w:t xml:space="preserve">Perusahaan </w:t>
      </w:r>
      <w:r w:rsidR="00CE794E" w:rsidRPr="00CE794E">
        <w:t xml:space="preserve">industri dasar dan kimia </w:t>
      </w:r>
      <w:r>
        <w:t xml:space="preserve">dengan </w:t>
      </w:r>
      <w:r w:rsidR="00E341E2">
        <w:t>pengelompokan sub</w:t>
      </w:r>
      <w:r>
        <w:t>sektor semen terdiri dari 6 perusahaan. Keenam perusahaan tersebut ada yang sudah go public sejak</w:t>
      </w:r>
      <w:r w:rsidR="00690690">
        <w:t xml:space="preserve"> tanggal 5 Desember</w:t>
      </w:r>
      <w:r>
        <w:t xml:space="preserve"> 1989.</w:t>
      </w:r>
      <w:r w:rsidR="00690690">
        <w:t xml:space="preserve"> Sedangkan yang paling akhir go public adalah </w:t>
      </w:r>
      <w:r w:rsidR="00690690" w:rsidRPr="00690690">
        <w:t>Waskita Beton Precast Tbk</w:t>
      </w:r>
      <w:r w:rsidR="00690690">
        <w:t xml:space="preserve"> yaitu tanggal 20 September 2016.</w:t>
      </w:r>
      <w:r w:rsidR="00222F7E">
        <w:t xml:space="preserve"> </w:t>
      </w:r>
      <w:r w:rsidR="00690690">
        <w:t xml:space="preserve">Perusahaan dengan subsektor Kayu &amp; pengolahannya hanya ada dua perusahaan yaitu </w:t>
      </w:r>
      <w:r w:rsidR="00690690" w:rsidRPr="00690690">
        <w:t>SLJ Global Tbk</w:t>
      </w:r>
      <w:r w:rsidR="00690690">
        <w:t xml:space="preserve"> menjadi perusahaan terbuka sejak tanggal 21 </w:t>
      </w:r>
      <w:r w:rsidR="00413241">
        <w:t>April</w:t>
      </w:r>
      <w:r w:rsidR="00690690">
        <w:t xml:space="preserve"> 1994. Sedangkan perusahaan </w:t>
      </w:r>
      <w:r w:rsidR="00690690" w:rsidRPr="00690690">
        <w:t>Tirta Mahakam Resources Tbk</w:t>
      </w:r>
      <w:r w:rsidR="00690690">
        <w:t xml:space="preserve"> tercatat di pasar bursa sejak 13 Desember 1999.</w:t>
      </w:r>
      <w:r w:rsidR="00F6452D">
        <w:t xml:space="preserve"> Untuk subsector perusahaan keramik, porselen, dan kaca terdapat 8 perusahaan dan yang paling awal </w:t>
      </w:r>
      <w:r w:rsidR="00F6452D">
        <w:lastRenderedPageBreak/>
        <w:t xml:space="preserve">tercatat sebagai emiten adalah </w:t>
      </w:r>
      <w:r w:rsidR="00F6452D" w:rsidRPr="00F6452D">
        <w:t>Surya Toto Indonesia Tbk</w:t>
      </w:r>
      <w:r w:rsidR="00F6452D">
        <w:t xml:space="preserve"> melantai di bursa saham pada tanggal 30 Oktober 1990. Sedangkan yang paling baru sebagai emiten yaitu </w:t>
      </w:r>
      <w:r w:rsidR="00F6452D" w:rsidRPr="00F6452D">
        <w:t>Cahayaputra Asa Keramik Tbk</w:t>
      </w:r>
      <w:r w:rsidR="00F6452D">
        <w:t xml:space="preserve"> pada tanggal 31 Oktober 2018. Emiten berikutnya adalah </w:t>
      </w:r>
      <w:r w:rsidR="00CE794E">
        <w:t xml:space="preserve">subsektor plastik dan kemasan terdapat 11 perusahaan dengan rincian paling awal sebagai perusahaan terbuka adalah </w:t>
      </w:r>
      <w:r w:rsidR="00CE794E" w:rsidRPr="00CE794E">
        <w:t>Berlina Tbk</w:t>
      </w:r>
      <w:r w:rsidR="00CE794E">
        <w:t xml:space="preserve"> pada tanggal 6 November 1989. Kemudian yang paling baru yakni </w:t>
      </w:r>
      <w:r w:rsidR="00CE794E" w:rsidRPr="00CE794E">
        <w:t>Panca Budi Idaman Tbk</w:t>
      </w:r>
      <w:r w:rsidR="00CE794E">
        <w:t xml:space="preserve"> tercatat pada tanggal 13 Desember 2017. Subsektor Pulp &amp; Kertas terdapat 9 perusahaan dan yang paling awal sebagai emiten, </w:t>
      </w:r>
      <w:r w:rsidR="00CE794E" w:rsidRPr="00A534C5">
        <w:t>Pabrik Kertas Tjiwi Kimia Tbk</w:t>
      </w:r>
      <w:r w:rsidR="00CE794E">
        <w:t xml:space="preserve"> pada tanggal 3 April 1990. Adapun yang tercatat paling baru sebagai emiten, </w:t>
      </w:r>
      <w:r w:rsidR="00CE794E" w:rsidRPr="00CE794E">
        <w:t>Sriwahana Adityakarta Tbk</w:t>
      </w:r>
      <w:r w:rsidR="00CE794E">
        <w:t xml:space="preserve"> pada tanggal 8 Juni 2018. Sub kelompok berikutnya terdapat 13 perusahaan Kimia dengan pencatatan awal, </w:t>
      </w:r>
      <w:r w:rsidR="00CE794E" w:rsidRPr="00CE794E">
        <w:t>Unggul Indah Cahaya Tbk</w:t>
      </w:r>
      <w:r w:rsidR="00CE794E">
        <w:t xml:space="preserve"> pada tanggal 6 November 1989. Kemudian perusahaan sejenis yang go public paling baru, </w:t>
      </w:r>
      <w:r w:rsidR="00CE794E" w:rsidRPr="00CE794E">
        <w:t>Tridomain Performance Material Tbk</w:t>
      </w:r>
      <w:r w:rsidR="00CE794E">
        <w:t xml:space="preserve"> pada tanggal 9 April 2018. </w:t>
      </w:r>
      <w:r w:rsidR="00DE0036">
        <w:t xml:space="preserve">Sub kelompok lanjutannya adalah logamdan sejenisnya terdiri dari 15 perusahaan dengan rincian pencatatan paling awal perusahaan </w:t>
      </w:r>
      <w:r w:rsidR="00DE0036" w:rsidRPr="00DE0036">
        <w:t>Citra Tubindo Tbk</w:t>
      </w:r>
      <w:r w:rsidR="00DE0036">
        <w:t xml:space="preserve"> pada tanggal 28 November 1989, sementara itu yang relatif paling baru perusahaan</w:t>
      </w:r>
      <w:r w:rsidR="00CE794E">
        <w:t xml:space="preserve"> </w:t>
      </w:r>
      <w:r w:rsidR="00DE0036" w:rsidRPr="00DE0036">
        <w:t>Steel Pipe Industry of Indonesia Tbk</w:t>
      </w:r>
      <w:r w:rsidR="00DE0036">
        <w:t xml:space="preserve"> pada tanggal 22 Februari 2013.</w:t>
      </w:r>
      <w:r w:rsidR="00E341E2">
        <w:t xml:space="preserve"> Terdapat 5 perusahaan pada subsektor pakan ternak dengan rincian paling awal tercatat sebagai emiten perusahaan </w:t>
      </w:r>
      <w:r w:rsidR="00E341E2" w:rsidRPr="00E341E2">
        <w:t>Japfa Comfeed Indonesia Tbk</w:t>
      </w:r>
      <w:r w:rsidR="00E341E2">
        <w:t xml:space="preserve"> pada tanggal 23 Oktober 1989 sedangkan yang paling baru perusahaan </w:t>
      </w:r>
      <w:r w:rsidR="00E341E2" w:rsidRPr="00E341E2">
        <w:t>Central Proteina Prima Tbk</w:t>
      </w:r>
      <w:r w:rsidR="00E341E2">
        <w:t xml:space="preserve"> p</w:t>
      </w:r>
      <w:r w:rsidR="00BB13C7">
        <w:t>ada tanggal 28 November 2006. Sedangkan</w:t>
      </w:r>
      <w:r w:rsidR="00E341E2">
        <w:t xml:space="preserve"> pengelompokkan paling akhir adalah Industri dasar &amp; kimia lainnya terdapat 2 perusahaan yaitu </w:t>
      </w:r>
      <w:r w:rsidR="00E341E2" w:rsidRPr="00E341E2">
        <w:t>Indo Komoditi Korpora Tbk</w:t>
      </w:r>
      <w:r w:rsidR="00E341E2">
        <w:t xml:space="preserve"> mulai tercatat sebagai emiten tanggal 18 Desember 1989 dan perusahaan </w:t>
      </w:r>
      <w:r w:rsidR="00E341E2" w:rsidRPr="00E341E2">
        <w:t>Kirana Megatara Tbk</w:t>
      </w:r>
      <w:r w:rsidR="00E341E2">
        <w:t xml:space="preserve"> tercatat melantai di bursa saham tanggal 19 Juni 2017.</w:t>
      </w:r>
    </w:p>
    <w:p w:rsidR="00E341E2" w:rsidRDefault="00E341E2" w:rsidP="00235681">
      <w:pPr>
        <w:spacing w:line="480" w:lineRule="auto"/>
        <w:ind w:firstLine="720"/>
        <w:jc w:val="both"/>
      </w:pPr>
      <w:r>
        <w:t xml:space="preserve">Perusahaan </w:t>
      </w:r>
      <w:r w:rsidRPr="00CE794E">
        <w:t xml:space="preserve">industri dasar dan kimia </w:t>
      </w:r>
      <w:r>
        <w:t xml:space="preserve">dengan pengelompokan subsektor industri barang konsumsi dimulai dari sub pengelompokan makanan &amp; minuman yang terdiri dari 26 emiten. Adapun rincian awal yang melantai di bursa efek perusahaan </w:t>
      </w:r>
      <w:r w:rsidRPr="00AA171D">
        <w:t>Ultra Jaya Milk Industry &amp; Trading</w:t>
      </w:r>
      <w:r w:rsidRPr="00AA171D">
        <w:br/>
      </w:r>
      <w:r w:rsidRPr="00AA171D">
        <w:lastRenderedPageBreak/>
        <w:t>Company Tbk</w:t>
      </w:r>
      <w:r>
        <w:t xml:space="preserve"> pada tanggal 2 Juli 1990 sedangkan yang relatif paling baru perusahaan </w:t>
      </w:r>
      <w:r w:rsidRPr="00AA171D">
        <w:t>Sentra Food Indonesia Tbk</w:t>
      </w:r>
      <w:r>
        <w:t xml:space="preserve"> pada tanggal 8 Januari 2019. Sub pengelompokan berikutnya berupa perusahaan rokok yang terdiri dari 4 dengan rincian paling awal sebagai emiten </w:t>
      </w:r>
      <w:r w:rsidRPr="00AA171D">
        <w:t>Bentoel Internasional Investama+D24 Tbk</w:t>
      </w:r>
      <w:r>
        <w:t xml:space="preserve"> pada tanggal 5 </w:t>
      </w:r>
      <w:r w:rsidR="00413241">
        <w:t>April</w:t>
      </w:r>
      <w:r>
        <w:t xml:space="preserve"> 1990. Adapun yang paling baru perusahaan </w:t>
      </w:r>
      <w:r w:rsidRPr="00AA171D">
        <w:t>Wismilak Inti Makmur Tbk</w:t>
      </w:r>
      <w:r>
        <w:t xml:space="preserve"> pada tanggal 18 Desember 2012. Untuk Subsektor Farmasi terdiri dari 12 perusahaan dan sebagai emiten paling awal </w:t>
      </w:r>
      <w:r w:rsidRPr="00AA171D">
        <w:t>Merck Tbk</w:t>
      </w:r>
      <w:r>
        <w:t xml:space="preserve"> dengan pencatatan tanggal 23 Juli 1981. Adapun perusahaan yang go public relatif paling baru yaitu </w:t>
      </w:r>
      <w:r w:rsidRPr="00AA171D">
        <w:t>Phapros Tbk</w:t>
      </w:r>
      <w:r>
        <w:t xml:space="preserve"> pada tanggal 26 Desember 2018. Berikutnya adalah Subsektor Kosmetik &amp; Keperluan Rumah Tangga yang terdiri dari 6 emiten dan </w:t>
      </w:r>
      <w:r w:rsidRPr="00AA171D">
        <w:t>Unilever Indonesia Tbk</w:t>
      </w:r>
      <w:r>
        <w:t xml:space="preserve"> mencatatkan paling awal sebagai perusahaan terbuka pada tanggal 11 Januari 1982. Sementara itu perusahaan paling belakangan sebagai emiten </w:t>
      </w:r>
      <w:r w:rsidRPr="00E341E2">
        <w:t>Cottonindo Ariesta Tbk</w:t>
      </w:r>
      <w:r>
        <w:t xml:space="preserve"> pada tanggal 5 Oktober 2018. Kemudian untuk Subsektor Peralatan Rumah Tangga terdiri dari 4 emiten diawali oleh </w:t>
      </w:r>
      <w:r w:rsidRPr="00AA171D">
        <w:t>Kedaung Indah Can Tbk</w:t>
      </w:r>
      <w:r>
        <w:t xml:space="preserve"> pada tanggal 28 Oktober 1993. Adapun perusahaan </w:t>
      </w:r>
      <w:r w:rsidRPr="00AA171D">
        <w:t>Integra Indocabinet Tbk</w:t>
      </w:r>
      <w:r>
        <w:t xml:space="preserve"> tercatat go public tanggal 21 Juni 2017.</w:t>
      </w:r>
      <w:r w:rsidR="00235681">
        <w:t xml:space="preserve"> Selanjutnya untuk Subsektor Industri Barang Konsumsi Lainnya tercatat hanya satu perusahaan yaitu </w:t>
      </w:r>
      <w:r w:rsidR="00235681" w:rsidRPr="00AA171D">
        <w:t>Hartadinata Abadi Tbk</w:t>
      </w:r>
      <w:r w:rsidR="00235681">
        <w:t xml:space="preserve"> pada tanggal 21 Juni 2017.</w:t>
      </w:r>
    </w:p>
    <w:p w:rsidR="00C87A4F" w:rsidRDefault="00C87A4F" w:rsidP="00C87A4F">
      <w:pPr>
        <w:spacing w:line="480" w:lineRule="auto"/>
        <w:ind w:firstLine="720"/>
        <w:jc w:val="both"/>
      </w:pPr>
      <w:r>
        <w:t xml:space="preserve">Perusahaan </w:t>
      </w:r>
      <w:r w:rsidRPr="00CE794E">
        <w:t xml:space="preserve">industri dasar dan kimia </w:t>
      </w:r>
      <w:r>
        <w:t xml:space="preserve">dengan pengelompokan </w:t>
      </w:r>
      <w:r w:rsidRPr="003C3F0C">
        <w:t xml:space="preserve">sektor aneka industri </w:t>
      </w:r>
      <w:r>
        <w:t xml:space="preserve">terdiri dari subsektor otomotif &amp; komponen terdiri dari 13 emiten yang tercatat paling awal perusahaan </w:t>
      </w:r>
      <w:r w:rsidRPr="003C3F0C">
        <w:t>Goodyear Indonesia Tbk</w:t>
      </w:r>
      <w:r>
        <w:t xml:space="preserve"> pada tanggal 1 Desember 1980. Sedangkan yang tercatat relatif paling baru adalah </w:t>
      </w:r>
      <w:r w:rsidRPr="003C3F0C">
        <w:t>Garuda Metalindo Tbk</w:t>
      </w:r>
      <w:r>
        <w:t xml:space="preserve"> pada tanggal 7 Juli 2015. Sub pengelompokan berikutnya adalah bidang Tekstil dan Garmen yang terdiri dari 18 perusahaan yang sudah go public. Adapun yang tercatat paling awal sebagai emiten di pasar saham perusahaan </w:t>
      </w:r>
      <w:r w:rsidRPr="003C3F0C">
        <w:t>Century Textile Industry Tbk</w:t>
      </w:r>
      <w:r>
        <w:t xml:space="preserve"> pada tanggal 22 Mei 1979. Sementara itu perusahaan yang relatif paling akhir mencatatkan sebagai emiten </w:t>
      </w:r>
      <w:r w:rsidRPr="003C3F0C">
        <w:t>Mega Perintis Tbk</w:t>
      </w:r>
      <w:r>
        <w:t xml:space="preserve"> pada tanggal 12 Desember 2018. Untuk Subsektor Mesin &amp; Alat berat </w:t>
      </w:r>
      <w:r>
        <w:lastRenderedPageBreak/>
        <w:t xml:space="preserve">terdapat 4 perusahaan diawali oleh emiten </w:t>
      </w:r>
      <w:r w:rsidRPr="003C3F0C">
        <w:t>Grand Kartech Tbk</w:t>
      </w:r>
      <w:r>
        <w:t xml:space="preserve"> tanggal 8 November 2013. Sedangkan yang paling baru </w:t>
      </w:r>
      <w:r w:rsidRPr="003C3F0C">
        <w:t>Steadfast Marine Tbk</w:t>
      </w:r>
      <w:r>
        <w:t xml:space="preserve"> pada tanggal 8 Juni 2018. Selanjutnya adalah Subsektor Elektronika terdiri dari dua perusahaan yaitu </w:t>
      </w:r>
      <w:r w:rsidRPr="003C3F0C">
        <w:t>Sat Nusapersada Tbk</w:t>
      </w:r>
      <w:r>
        <w:t xml:space="preserve"> pada tanggal 8 November 2007 dan perusahaan </w:t>
      </w:r>
      <w:r w:rsidRPr="003C3F0C">
        <w:t>Sky Energy Indonesia Tbk</w:t>
      </w:r>
      <w:r>
        <w:t xml:space="preserve"> pada tanggal 28 </w:t>
      </w:r>
      <w:r w:rsidR="00413241">
        <w:t>April</w:t>
      </w:r>
      <w:r>
        <w:t xml:space="preserve"> 2018. Kemudian untuk Subsektor kabel terdapat 6 perusahaan diawali oleh emiten Supreme Cable Manufacturing &amp; Commerce pada tanggal 20 </w:t>
      </w:r>
      <w:r w:rsidR="00413241">
        <w:t>Juli 1982. Sedangkan yang relat</w:t>
      </w:r>
      <w:r>
        <w:t xml:space="preserve">if paling baru perusahaan </w:t>
      </w:r>
      <w:r w:rsidRPr="003C3F0C">
        <w:t>Jembo Cable Company Tbk</w:t>
      </w:r>
      <w:r>
        <w:t xml:space="preserve"> pada tanggal 18 November 1992. Pada Subsektor Alas kaki terdapat dua emiten yaitu </w:t>
      </w:r>
      <w:r w:rsidRPr="003C3F0C">
        <w:t>Sepatu Bata Tbk</w:t>
      </w:r>
      <w:r>
        <w:t xml:space="preserve"> pada tanggal 24 </w:t>
      </w:r>
      <w:r w:rsidR="00413241">
        <w:t>April</w:t>
      </w:r>
      <w:r>
        <w:t xml:space="preserve"> 1982 dan perusahaan </w:t>
      </w:r>
      <w:r w:rsidRPr="003C3F0C">
        <w:t>Primarindo Asia Infrastructure Tbk</w:t>
      </w:r>
      <w:r>
        <w:t xml:space="preserve"> pada tanggal 30 Agustus 1994.</w:t>
      </w:r>
    </w:p>
    <w:p w:rsidR="00C87A4F" w:rsidRDefault="00C87A4F" w:rsidP="00C87A4F">
      <w:pPr>
        <w:spacing w:line="480" w:lineRule="auto"/>
        <w:ind w:firstLine="720"/>
        <w:jc w:val="both"/>
      </w:pPr>
      <w:r>
        <w:t xml:space="preserve">Pada awal tahun 2020 </w:t>
      </w:r>
      <w:r w:rsidR="00E43620">
        <w:t xml:space="preserve">sampai dengan bulan </w:t>
      </w:r>
      <w:r w:rsidR="00413241">
        <w:t>April</w:t>
      </w:r>
      <w:r w:rsidR="00E43620">
        <w:t xml:space="preserve"> 2020</w:t>
      </w:r>
      <w:r>
        <w:t xml:space="preserve"> terdapat lima perusahaan yang melaksanakan Initial Public Offering (IPO) yakni: </w:t>
      </w:r>
      <w:r w:rsidRPr="003C3F0C">
        <w:t>Diamond Food Indonesia Tbk</w:t>
      </w:r>
      <w:r>
        <w:t xml:space="preserve"> (DNMD) pada tanggal 22 Januari 2020; </w:t>
      </w:r>
      <w:r w:rsidRPr="003C3F0C">
        <w:t>Era Mandiri Cemerlang Tbk</w:t>
      </w:r>
      <w:r>
        <w:t xml:space="preserve"> (EKA) pada tanggal 12 Februari 2020; </w:t>
      </w:r>
      <w:r w:rsidRPr="003C3F0C">
        <w:t>Saraswanti Anugerah Makmur Tbk</w:t>
      </w:r>
      <w:r>
        <w:t xml:space="preserve"> (SAMF) pada tanggal </w:t>
      </w:r>
      <w:r w:rsidRPr="003C3F0C">
        <w:t xml:space="preserve">31 </w:t>
      </w:r>
      <w:r w:rsidR="00413241">
        <w:t>April</w:t>
      </w:r>
      <w:r w:rsidRPr="003C3F0C">
        <w:t xml:space="preserve"> 2020</w:t>
      </w:r>
      <w:r w:rsidR="00E43620">
        <w:t>.</w:t>
      </w:r>
      <w:r>
        <w:t xml:space="preserve"> Oleh karena itu sampai dengan penelitian ini di buat terdapat </w:t>
      </w:r>
      <w:r w:rsidR="00AF7AA7">
        <w:t>171 emiten.</w:t>
      </w:r>
    </w:p>
    <w:p w:rsidR="002F2C2B" w:rsidRDefault="002F2C2B" w:rsidP="002F2C2B">
      <w:pPr>
        <w:spacing w:line="480" w:lineRule="auto"/>
        <w:jc w:val="both"/>
      </w:pPr>
    </w:p>
    <w:p w:rsidR="002F2C2B" w:rsidRPr="002F2C2B" w:rsidRDefault="002F2C2B" w:rsidP="002F2C2B">
      <w:pPr>
        <w:spacing w:line="480" w:lineRule="auto"/>
        <w:jc w:val="both"/>
        <w:rPr>
          <w:b/>
        </w:rPr>
      </w:pPr>
      <w:r w:rsidRPr="002F2C2B">
        <w:rPr>
          <w:b/>
        </w:rPr>
        <w:t>4.2. Analisis Hasil Penelitian</w:t>
      </w:r>
    </w:p>
    <w:p w:rsidR="00317AD1" w:rsidRDefault="00317AD1" w:rsidP="00C87A4F">
      <w:pPr>
        <w:spacing w:line="480" w:lineRule="auto"/>
        <w:ind w:firstLine="720"/>
        <w:jc w:val="both"/>
      </w:pPr>
      <w:r>
        <w:t>Berdasarkan data yang diperoleh dari BEI dan setelah dilakukan pengolahan data diperoleh hasil sebagai berikut:</w:t>
      </w:r>
    </w:p>
    <w:p w:rsidR="00317AD1" w:rsidRDefault="00317AD1" w:rsidP="00317AD1">
      <w:pPr>
        <w:spacing w:line="480" w:lineRule="auto"/>
        <w:jc w:val="both"/>
      </w:pPr>
      <w:r>
        <w:rPr>
          <w:noProof/>
          <w:lang w:val="id-ID" w:eastAsia="id-ID"/>
        </w:rPr>
        <w:drawing>
          <wp:inline distT="0" distB="0" distL="0" distR="0" wp14:anchorId="4B450B4C">
            <wp:extent cx="5944235" cy="16338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1633855"/>
                    </a:xfrm>
                    <a:prstGeom prst="rect">
                      <a:avLst/>
                    </a:prstGeom>
                    <a:noFill/>
                  </pic:spPr>
                </pic:pic>
              </a:graphicData>
            </a:graphic>
          </wp:inline>
        </w:drawing>
      </w:r>
    </w:p>
    <w:p w:rsidR="00F708E9" w:rsidRDefault="00317AD1" w:rsidP="00F708E9">
      <w:pPr>
        <w:spacing w:line="480" w:lineRule="auto"/>
        <w:ind w:firstLine="720"/>
        <w:jc w:val="both"/>
      </w:pPr>
      <w:r>
        <w:lastRenderedPageBreak/>
        <w:t xml:space="preserve">Oleh karena itu maka dapat dilakukan analisis bahwa untuk </w:t>
      </w:r>
      <w:r w:rsidRPr="00E32BE7">
        <w:rPr>
          <w:i/>
        </w:rPr>
        <w:t>Abnormal return</w:t>
      </w:r>
      <w:r w:rsidR="00E32BE7">
        <w:t xml:space="preserve"> dengan mengacu pada besaran paired sample test pada nila two tailed te</w:t>
      </w:r>
      <w:r w:rsidR="00F708E9">
        <w:t>st memberikan hasil 0.</w:t>
      </w:r>
      <w:r w:rsidR="00E32BE7">
        <w:t xml:space="preserve">032 &lt; </w:t>
      </w:r>
      <w:r w:rsidR="00F708E9">
        <w:t>0.</w:t>
      </w:r>
      <w:r w:rsidR="00E32BE7">
        <w:t xml:space="preserve">05, maka dapat disimpulkan bahwa terdapat perbedaan </w:t>
      </w:r>
      <w:r w:rsidR="00E32BE7" w:rsidRPr="00D5793F">
        <w:rPr>
          <w:i/>
          <w:iCs/>
        </w:rPr>
        <w:t>Abnormal Return</w:t>
      </w:r>
      <w:r w:rsidR="00E32BE7">
        <w:t xml:space="preserve"> sebelum dan sesudah penetapan Tarif Bea Impor.</w:t>
      </w:r>
      <w:r w:rsidR="00F708E9">
        <w:t xml:space="preserve"> </w:t>
      </w:r>
      <w:r w:rsidR="00E32BE7">
        <w:t xml:space="preserve">Sedangkan pada bagian uji berikutnya untuk </w:t>
      </w:r>
      <w:r w:rsidR="00E32BE7" w:rsidRPr="00D5793F">
        <w:rPr>
          <w:i/>
          <w:iCs/>
        </w:rPr>
        <w:t>Abnormal Volume</w:t>
      </w:r>
      <w:r w:rsidR="00E32BE7">
        <w:t xml:space="preserve"> mengacu pada besaran paired sample test pada nila two tailed test memberikan hasil</w:t>
      </w:r>
      <w:r w:rsidR="00E32BE7">
        <w:t xml:space="preserve"> 0.000, m</w:t>
      </w:r>
      <w:r w:rsidR="00E32BE7">
        <w:t>aka dapat disimpulkan te</w:t>
      </w:r>
      <w:r w:rsidR="00F94BE6">
        <w:t xml:space="preserve">rdapat perbedaan </w:t>
      </w:r>
      <w:r w:rsidR="00F94BE6" w:rsidRPr="00F94BE6">
        <w:rPr>
          <w:i/>
        </w:rPr>
        <w:t xml:space="preserve">Abnormal </w:t>
      </w:r>
      <w:r w:rsidR="00F708E9">
        <w:rPr>
          <w:i/>
        </w:rPr>
        <w:t>Return</w:t>
      </w:r>
      <w:r w:rsidR="00E32BE7">
        <w:t xml:space="preserve"> sebelum dan sesudah penetapan Tarif Bea Impor.</w:t>
      </w:r>
      <w:r w:rsidR="00E32BE7">
        <w:t xml:space="preserve"> </w:t>
      </w:r>
      <w:r w:rsidR="00F708E9">
        <w:t xml:space="preserve">Pada bagian uji berikutnya untuk Volatility memberikan hasil sebesar 0.000 sehingga dapat disimpulkan bahwa terdapat perbedaan </w:t>
      </w:r>
      <w:r w:rsidR="00F708E9" w:rsidRPr="00F708E9">
        <w:rPr>
          <w:i/>
        </w:rPr>
        <w:t>Abnormal Return</w:t>
      </w:r>
      <w:r w:rsidR="00F708E9" w:rsidRPr="00F708E9">
        <w:t xml:space="preserve"> sebelum dan sesudah penetapan Tarif Bea Impor</w:t>
      </w:r>
      <w:r w:rsidR="00F708E9">
        <w:t xml:space="preserve">. </w:t>
      </w:r>
    </w:p>
    <w:p w:rsidR="00F708E9" w:rsidRPr="00F708E9" w:rsidRDefault="00F708E9" w:rsidP="00F708E9">
      <w:pPr>
        <w:spacing w:line="480" w:lineRule="auto"/>
        <w:ind w:firstLine="720"/>
        <w:jc w:val="both"/>
      </w:pPr>
      <w:r w:rsidRPr="00F708E9">
        <w:rPr>
          <w:lang w:val="id-ID"/>
        </w:rPr>
        <w:drawing>
          <wp:inline distT="0" distB="0" distL="0" distR="0" wp14:anchorId="4A620B61" wp14:editId="2E5B5E7C">
            <wp:extent cx="371475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714750" cy="1057275"/>
                    </a:xfrm>
                    <a:prstGeom prst="rect">
                      <a:avLst/>
                    </a:prstGeom>
                  </pic:spPr>
                </pic:pic>
              </a:graphicData>
            </a:graphic>
          </wp:inline>
        </w:drawing>
      </w:r>
    </w:p>
    <w:p w:rsidR="00F708E9" w:rsidRPr="00F708E9" w:rsidRDefault="00F708E9" w:rsidP="00F708E9">
      <w:pPr>
        <w:spacing w:line="480" w:lineRule="auto"/>
        <w:ind w:firstLine="720"/>
        <w:jc w:val="both"/>
      </w:pPr>
      <w:r w:rsidRPr="00F708E9">
        <w:rPr>
          <w:lang w:val="id-ID"/>
        </w:rPr>
        <w:drawing>
          <wp:inline distT="0" distB="0" distL="0" distR="0" wp14:anchorId="02447C9D" wp14:editId="186D440A">
            <wp:extent cx="5219700" cy="1438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19700" cy="1438275"/>
                    </a:xfrm>
                    <a:prstGeom prst="rect">
                      <a:avLst/>
                    </a:prstGeom>
                  </pic:spPr>
                </pic:pic>
              </a:graphicData>
            </a:graphic>
          </wp:inline>
        </w:drawing>
      </w:r>
    </w:p>
    <w:p w:rsidR="00F708E9" w:rsidRPr="00F708E9" w:rsidRDefault="00F708E9" w:rsidP="00F708E9">
      <w:pPr>
        <w:spacing w:line="480" w:lineRule="auto"/>
        <w:ind w:firstLine="720"/>
        <w:jc w:val="both"/>
      </w:pPr>
      <w:r>
        <w:t>Ketika</w:t>
      </w:r>
      <w:r w:rsidRPr="00F708E9">
        <w:t xml:space="preserve"> hasil uji regresi dengan </w:t>
      </w:r>
      <w:r>
        <w:t xml:space="preserve">menggunakan </w:t>
      </w:r>
      <w:r w:rsidRPr="00F708E9">
        <w:t xml:space="preserve">variabel </w:t>
      </w:r>
      <w:r w:rsidRPr="00F708E9">
        <w:rPr>
          <w:i/>
          <w:iCs/>
        </w:rPr>
        <w:t>dummy</w:t>
      </w:r>
      <w:r>
        <w:t xml:space="preserve"> diperoleh nilai R sebesar 0.233 dengan</w:t>
      </w:r>
      <w:r w:rsidRPr="00F708E9">
        <w:t xml:space="preserve"> n</w:t>
      </w:r>
      <w:r>
        <w:t>ilai sig. 0.037 &lt; 0.05 sehingg</w:t>
      </w:r>
      <w:r w:rsidRPr="00F708E9">
        <w:t>a</w:t>
      </w:r>
      <w:r>
        <w:t xml:space="preserve"> </w:t>
      </w:r>
      <w:r w:rsidRPr="00F708E9">
        <w:t xml:space="preserve">dapat </w:t>
      </w:r>
      <w:r>
        <w:t xml:space="preserve">dinyatakan bahwa terdapat </w:t>
      </w:r>
      <w:r w:rsidRPr="00F708E9">
        <w:t xml:space="preserve">pengaruh </w:t>
      </w:r>
      <w:r>
        <w:t>yang lemah untuk</w:t>
      </w:r>
      <w:r w:rsidRPr="00F708E9">
        <w:t xml:space="preserve"> </w:t>
      </w:r>
      <w:r w:rsidRPr="00F708E9">
        <w:rPr>
          <w:i/>
          <w:iCs/>
        </w:rPr>
        <w:t>Abnormal Return</w:t>
      </w:r>
      <w:r w:rsidRPr="00F708E9">
        <w:t xml:space="preserve"> sebelum dan sesudah penetapan Tarif Bea Impor.</w:t>
      </w:r>
    </w:p>
    <w:p w:rsidR="00F708E9" w:rsidRPr="00F708E9" w:rsidRDefault="00F708E9" w:rsidP="00F708E9">
      <w:pPr>
        <w:spacing w:line="480" w:lineRule="auto"/>
        <w:ind w:firstLine="720"/>
        <w:jc w:val="both"/>
      </w:pPr>
      <w:r w:rsidRPr="00F708E9">
        <w:rPr>
          <w:lang w:val="id-ID"/>
        </w:rPr>
        <w:drawing>
          <wp:inline distT="0" distB="0" distL="0" distR="0" wp14:anchorId="32D80588" wp14:editId="24591158">
            <wp:extent cx="3714750" cy="1057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14750" cy="1057275"/>
                    </a:xfrm>
                    <a:prstGeom prst="rect">
                      <a:avLst/>
                    </a:prstGeom>
                  </pic:spPr>
                </pic:pic>
              </a:graphicData>
            </a:graphic>
          </wp:inline>
        </w:drawing>
      </w:r>
    </w:p>
    <w:p w:rsidR="00F708E9" w:rsidRPr="00F708E9" w:rsidRDefault="00F708E9" w:rsidP="00F708E9">
      <w:pPr>
        <w:spacing w:line="480" w:lineRule="auto"/>
        <w:ind w:firstLine="720"/>
        <w:jc w:val="both"/>
      </w:pPr>
      <w:r w:rsidRPr="00F708E9">
        <w:rPr>
          <w:lang w:val="id-ID"/>
        </w:rPr>
        <w:lastRenderedPageBreak/>
        <w:drawing>
          <wp:inline distT="0" distB="0" distL="0" distR="0" wp14:anchorId="07FB15C5" wp14:editId="467ECDE7">
            <wp:extent cx="5200650" cy="1438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00650" cy="1438275"/>
                    </a:xfrm>
                    <a:prstGeom prst="rect">
                      <a:avLst/>
                    </a:prstGeom>
                  </pic:spPr>
                </pic:pic>
              </a:graphicData>
            </a:graphic>
          </wp:inline>
        </w:drawing>
      </w:r>
    </w:p>
    <w:p w:rsidR="00F708E9" w:rsidRPr="00F708E9" w:rsidRDefault="00F708E9" w:rsidP="00F708E9">
      <w:pPr>
        <w:spacing w:line="480" w:lineRule="auto"/>
        <w:ind w:firstLine="720"/>
        <w:jc w:val="both"/>
      </w:pPr>
      <w:r>
        <w:t>Selanjutnya saat melakukan</w:t>
      </w:r>
      <w:r w:rsidRPr="00F708E9">
        <w:t xml:space="preserve"> uji regresi dengan variabel </w:t>
      </w:r>
      <w:r w:rsidRPr="00F708E9">
        <w:rPr>
          <w:i/>
          <w:iCs/>
        </w:rPr>
        <w:t>dummy</w:t>
      </w:r>
      <w:r w:rsidRPr="00F708E9">
        <w:t xml:space="preserve"> dapat di</w:t>
      </w:r>
      <w:r>
        <w:t>peroleh nilai R sebesar 0.512 dengan</w:t>
      </w:r>
      <w:r w:rsidRPr="00F708E9">
        <w:t xml:space="preserve"> n</w:t>
      </w:r>
      <w:r>
        <w:t xml:space="preserve">ilai sig. 0.000 &lt; </w:t>
      </w:r>
      <w:r w:rsidRPr="00F708E9">
        <w:t xml:space="preserve"> 0.05 </w:t>
      </w:r>
      <w:r>
        <w:t xml:space="preserve">sehingga </w:t>
      </w:r>
      <w:r w:rsidRPr="00F708E9">
        <w:t xml:space="preserve">terdapat pengaruh antara yang moderate antara </w:t>
      </w:r>
      <w:r w:rsidRPr="00F708E9">
        <w:rPr>
          <w:i/>
          <w:iCs/>
        </w:rPr>
        <w:t>Abnormal Volume</w:t>
      </w:r>
      <w:r w:rsidRPr="00F708E9">
        <w:t xml:space="preserve"> sebelum dan sesudah penetapan Tarif Bea Impor.</w:t>
      </w:r>
    </w:p>
    <w:p w:rsidR="00F708E9" w:rsidRPr="00F708E9" w:rsidRDefault="00F708E9" w:rsidP="00F708E9">
      <w:pPr>
        <w:spacing w:line="480" w:lineRule="auto"/>
        <w:ind w:firstLine="720"/>
        <w:jc w:val="both"/>
      </w:pPr>
      <w:r w:rsidRPr="00F708E9">
        <w:rPr>
          <w:lang w:val="id-ID"/>
        </w:rPr>
        <w:drawing>
          <wp:inline distT="0" distB="0" distL="0" distR="0" wp14:anchorId="09ADFE9F" wp14:editId="730DDC38">
            <wp:extent cx="3714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14750" cy="1057275"/>
                    </a:xfrm>
                    <a:prstGeom prst="rect">
                      <a:avLst/>
                    </a:prstGeom>
                  </pic:spPr>
                </pic:pic>
              </a:graphicData>
            </a:graphic>
          </wp:inline>
        </w:drawing>
      </w:r>
    </w:p>
    <w:p w:rsidR="00F708E9" w:rsidRPr="00F708E9" w:rsidRDefault="00F708E9" w:rsidP="00F708E9">
      <w:pPr>
        <w:spacing w:line="480" w:lineRule="auto"/>
        <w:ind w:firstLine="720"/>
        <w:jc w:val="both"/>
      </w:pPr>
      <w:r w:rsidRPr="00F708E9">
        <w:rPr>
          <w:lang w:val="id-ID"/>
        </w:rPr>
        <w:drawing>
          <wp:inline distT="0" distB="0" distL="0" distR="0" wp14:anchorId="75C654F7" wp14:editId="54B6750D">
            <wp:extent cx="5133975" cy="14382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33975" cy="1438275"/>
                    </a:xfrm>
                    <a:prstGeom prst="rect">
                      <a:avLst/>
                    </a:prstGeom>
                  </pic:spPr>
                </pic:pic>
              </a:graphicData>
            </a:graphic>
          </wp:inline>
        </w:drawing>
      </w:r>
    </w:p>
    <w:p w:rsidR="00F708E9" w:rsidRDefault="00F708E9" w:rsidP="00F708E9">
      <w:pPr>
        <w:spacing w:line="480" w:lineRule="auto"/>
        <w:ind w:firstLine="720"/>
        <w:jc w:val="both"/>
      </w:pPr>
      <w:r>
        <w:t>Kemudian langkah berikutnya melakukan</w:t>
      </w:r>
      <w:r w:rsidRPr="00F708E9">
        <w:t xml:space="preserve"> uji regresi dengan variabel </w:t>
      </w:r>
      <w:r w:rsidRPr="00F708E9">
        <w:rPr>
          <w:i/>
          <w:iCs/>
        </w:rPr>
        <w:t>dummy</w:t>
      </w:r>
      <w:r w:rsidRPr="00F708E9">
        <w:t xml:space="preserve"> dapat di</w:t>
      </w:r>
      <w:r>
        <w:t>peroleh</w:t>
      </w:r>
      <w:r w:rsidRPr="00F708E9">
        <w:t xml:space="preserve"> nilai R sebesar 0.508 dan n</w:t>
      </w:r>
      <w:r>
        <w:t>ilai sig. 0.000 &lt;</w:t>
      </w:r>
      <w:r w:rsidRPr="00F708E9">
        <w:t xml:space="preserve"> 0.05 maka terdapat pengaruh antara yang moderate antara </w:t>
      </w:r>
      <w:r w:rsidRPr="00F708E9">
        <w:rPr>
          <w:i/>
          <w:iCs/>
        </w:rPr>
        <w:t>Volatility</w:t>
      </w:r>
      <w:r w:rsidRPr="00F708E9">
        <w:t xml:space="preserve"> sebelum dan sesudah penetapan Tarif Bea Impor.</w:t>
      </w:r>
    </w:p>
    <w:p w:rsidR="004C593E" w:rsidRDefault="00F708E9" w:rsidP="00F708E9">
      <w:pPr>
        <w:spacing w:line="480" w:lineRule="auto"/>
        <w:ind w:firstLine="720"/>
        <w:jc w:val="both"/>
      </w:pPr>
      <w:r>
        <w:t xml:space="preserve">Berdasarkan hasil uji tersebut diatas maka analisis berikutnya menggunakan data yang tersaji pada informasi resmi dari tabel Bursa Efek Indonesia sebagai berikut. </w:t>
      </w:r>
      <w:r w:rsidR="002B1B3D">
        <w:t xml:space="preserve">Pada bulan Desember 2019, indeks harga saham sektor manufaktur berdasarkan informasi dari BEI memberikan hasil meningkat (positif) terutama untuk emiten UNVR (Unilever) yang masuk sebagai </w:t>
      </w:r>
      <w:r w:rsidR="004C593E">
        <w:t>subsektor</w:t>
      </w:r>
      <w:r w:rsidR="002B1B3D">
        <w:t xml:space="preserve"> barang konsumsi sebesar 13,83% dengan nilai kapitalisasi Rp320,46 triliun. </w:t>
      </w:r>
      <w:r w:rsidR="004C593E">
        <w:t xml:space="preserve">Meskipun untuk </w:t>
      </w:r>
      <w:r w:rsidR="004C593E">
        <w:lastRenderedPageBreak/>
        <w:t>indeks subsektor barang konsumsi sebesar 27,37%. Pada urutan kedua untuk sub sektor yang sama adalah HMSP (HM Sampurna) sebesar 20,86% dengan nilai kapitalisasi Rp244,27 triliun. Namun demikian untuk indeks sektor manufaktur berada pada urutan ketiga dengan indeks 10,54%. Urutan yang ketiga sub sektor industri barang</w:t>
      </w:r>
      <w:r w:rsidR="00C31381">
        <w:t xml:space="preserve"> </w:t>
      </w:r>
      <w:r w:rsidR="004C593E">
        <w:t>konsumsi yaitu ICBP (Indofood CBP Sukses Makmur) mempunyai indeks 11,10% dengan nilai kapitalisasi sebanyak Rp130,03 triliun. Tetapi jika dikelompok sektor manufaktur berada pada urutan ke enam dengan indeks sebesar 5,61%.</w:t>
      </w:r>
    </w:p>
    <w:p w:rsidR="002B1B3D" w:rsidRDefault="002B1B3D" w:rsidP="00C87A4F">
      <w:pPr>
        <w:spacing w:line="480" w:lineRule="auto"/>
        <w:ind w:firstLine="720"/>
        <w:jc w:val="both"/>
      </w:pPr>
      <w:r>
        <w:t>Sedangkan pada urutan kedua</w:t>
      </w:r>
      <w:r w:rsidR="004C593E">
        <w:t xml:space="preserve"> sektor manufaktur maka</w:t>
      </w:r>
      <w:r>
        <w:t xml:space="preserve"> ASII (Astra Internasional) mempunyai indeks 12,10% dengan nilai kapitalisasi sebesar Rp280,35 triliun.</w:t>
      </w:r>
      <w:r w:rsidR="004C593E">
        <w:t xml:space="preserve"> Sedangkan pada subsektor aneka industri menempati urutan pertama dengan angka indeks setinggi 75,49%. Pada urutan ke empat untuk sektor manufaktur ditempati oleh TPIA (Chandra Asri Petrochemical) dengan indeks setinggi 7,98%. Dan mempunyai nilai kapitalisasi saham sebesar Rp185,02 triliun. TPIA menempati urutan pertama untuk subsektor industtri dasar &amp; kimia dengan indeks setinggi 23,87%. Sedangkan pada sub sektor yang sama BRPT (Barito Pacific) mempunyai indeks setinggi 17,34% dengan nilai kapitalisasi saham sebesar Rp134,41 triliun. Namun pada sektor manu</w:t>
      </w:r>
      <w:r w:rsidR="00407E43">
        <w:t xml:space="preserve">faktur menempati urutan ke lima dengan indeks setinggi 5,80%. </w:t>
      </w:r>
    </w:p>
    <w:p w:rsidR="00407E43" w:rsidRDefault="00407E43" w:rsidP="00C87A4F">
      <w:pPr>
        <w:spacing w:line="480" w:lineRule="auto"/>
        <w:ind w:firstLine="720"/>
        <w:jc w:val="both"/>
      </w:pPr>
      <w:r>
        <w:t xml:space="preserve">CPIN (Charoen Pokphand Indonesia) pada sektor manufaktur menempati posisi indeks ke tujuh dengan tinggi 4,60% serta mempunyai nilai kapitalisasi saham sebesar Rp106,59 triliun. Sedangkan pada kelompok </w:t>
      </w:r>
      <w:r w:rsidR="00476EC7">
        <w:t>subsektor</w:t>
      </w:r>
      <w:r>
        <w:t xml:space="preserve"> industri dasar &amp; kimia menempati urutan ke tiga dengan taainggi indeks 13,73%. Sementara itu pada subsektor yang sama ditempati oleh SMGR (Semen Indonesia) dengan ketinggian indeks 9,18% mempunyai nilai kapitalisasi saham Rp71,18 triliun. Kondisi tersebut pada SMGR menempati urutan ke sepuluh pada sektor manufaktur dengan indeks setinggi 3,07%.</w:t>
      </w:r>
    </w:p>
    <w:p w:rsidR="00476EC7" w:rsidRDefault="00476EC7" w:rsidP="00C87A4F">
      <w:pPr>
        <w:spacing w:line="480" w:lineRule="auto"/>
        <w:ind w:firstLine="720"/>
        <w:jc w:val="both"/>
      </w:pPr>
      <w:r>
        <w:lastRenderedPageBreak/>
        <w:t xml:space="preserve">GGRM (Gudang Garam) pada sektor manufaktur menempati posisi ke delapan, mempunyai indeks setinggi 4,40% dan mempunyai nilai kapitalisasi saham Rp1010,98 triliun. Sementara itu pada </w:t>
      </w:r>
      <w:r w:rsidR="00443C6E">
        <w:t>subsektor</w:t>
      </w:r>
      <w:r>
        <w:t xml:space="preserve"> </w:t>
      </w:r>
      <w:r w:rsidR="00443C6E">
        <w:t xml:space="preserve">barang konsumsi </w:t>
      </w:r>
      <w:r>
        <w:t>menempati posisi ke empat dengan indeks setinggi 8,71%. Pada posisi ke sembilan sektor manufaktur ditempati oleh KLBF (Kalbe Farma) dengan indeks setinggi 3,28% dan nilai kapitalisasi saham sebesar Rp75,94 triliun</w:t>
      </w:r>
      <w:r w:rsidR="00443C6E">
        <w:t>. Sementara KLBF pada kelompok subsektor barang konsumsi menempati urutan ke lima dengan indeks setinggi 6,49%.</w:t>
      </w:r>
      <w:r>
        <w:t xml:space="preserve"> </w:t>
      </w:r>
      <w:r w:rsidR="00637B4D">
        <w:t xml:space="preserve">Penjelasan secara lebih lengkap dapat dilihat pada tabel </w:t>
      </w:r>
      <w:r w:rsidR="00F81C03">
        <w:t xml:space="preserve">4.2. </w:t>
      </w:r>
      <w:r w:rsidR="00637B4D">
        <w:t>di bawah ini.</w:t>
      </w:r>
    </w:p>
    <w:tbl>
      <w:tblPr>
        <w:tblW w:w="9433" w:type="dxa"/>
        <w:tblInd w:w="30" w:type="dxa"/>
        <w:tblLook w:val="04A0" w:firstRow="1" w:lastRow="0" w:firstColumn="1" w:lastColumn="0" w:noHBand="0" w:noVBand="1"/>
      </w:tblPr>
      <w:tblGrid>
        <w:gridCol w:w="875"/>
        <w:gridCol w:w="802"/>
        <w:gridCol w:w="3253"/>
        <w:gridCol w:w="1070"/>
        <w:gridCol w:w="432"/>
        <w:gridCol w:w="1441"/>
        <w:gridCol w:w="1560"/>
      </w:tblGrid>
      <w:tr w:rsidR="00990158" w:rsidRPr="00990158" w:rsidTr="00990158">
        <w:trPr>
          <w:trHeight w:val="375"/>
        </w:trPr>
        <w:tc>
          <w:tcPr>
            <w:tcW w:w="875" w:type="dxa"/>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c>
          <w:tcPr>
            <w:tcW w:w="802" w:type="dxa"/>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c>
          <w:tcPr>
            <w:tcW w:w="4755" w:type="dxa"/>
            <w:gridSpan w:val="3"/>
            <w:tcBorders>
              <w:top w:val="nil"/>
              <w:left w:val="nil"/>
              <w:bottom w:val="nil"/>
              <w:right w:val="nil"/>
            </w:tcBorders>
            <w:shd w:val="clear" w:color="auto" w:fill="auto"/>
            <w:noWrap/>
            <w:vAlign w:val="bottom"/>
            <w:hideMark/>
          </w:tcPr>
          <w:p w:rsidR="00990158" w:rsidRPr="00990158" w:rsidRDefault="003C4A55" w:rsidP="00990158">
            <w:pPr>
              <w:rPr>
                <w:rFonts w:ascii="Calibri" w:eastAsia="Times New Roman" w:hAnsi="Calibri" w:cs="Calibri"/>
                <w:color w:val="000000"/>
                <w:lang w:val="id-ID" w:eastAsia="id-ID"/>
              </w:rPr>
            </w:pPr>
            <w:r w:rsidRPr="003C4A55">
              <w:rPr>
                <w:rFonts w:ascii="Calibri" w:eastAsia="Times New Roman" w:hAnsi="Calibri" w:cs="Calibri"/>
                <w:color w:val="000000"/>
                <w:lang w:eastAsia="id-ID"/>
              </w:rPr>
              <w:t xml:space="preserve">Tabel 4.2. </w:t>
            </w:r>
            <w:r w:rsidR="00990158" w:rsidRPr="00990158">
              <w:rPr>
                <w:rFonts w:ascii="Calibri" w:eastAsia="Times New Roman" w:hAnsi="Calibri" w:cs="Calibri"/>
                <w:color w:val="000000"/>
                <w:lang w:val="id-ID" w:eastAsia="id-ID"/>
              </w:rPr>
              <w:t>Sektor Manufaktur &amp; Subsektornya</w:t>
            </w:r>
          </w:p>
        </w:tc>
        <w:tc>
          <w:tcPr>
            <w:tcW w:w="1441" w:type="dxa"/>
            <w:tcBorders>
              <w:top w:val="nil"/>
              <w:left w:val="nil"/>
              <w:bottom w:val="nil"/>
              <w:right w:val="nil"/>
            </w:tcBorders>
            <w:shd w:val="clear" w:color="auto" w:fill="auto"/>
            <w:noWrap/>
            <w:vAlign w:val="bottom"/>
            <w:hideMark/>
          </w:tcPr>
          <w:p w:rsidR="00990158" w:rsidRPr="00990158" w:rsidRDefault="00990158" w:rsidP="00990158">
            <w:pPr>
              <w:rPr>
                <w:rFonts w:ascii="Calibri" w:eastAsia="Times New Roman" w:hAnsi="Calibri" w:cs="Calibri"/>
                <w:color w:val="000000"/>
                <w:sz w:val="28"/>
                <w:szCs w:val="28"/>
                <w:lang w:val="id-ID" w:eastAsia="id-ID"/>
              </w:rPr>
            </w:pPr>
          </w:p>
        </w:tc>
        <w:tc>
          <w:tcPr>
            <w:tcW w:w="1560" w:type="dxa"/>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r>
      <w:tr w:rsidR="00990158" w:rsidRPr="00990158" w:rsidTr="00990158">
        <w:trPr>
          <w:trHeight w:val="300"/>
        </w:trPr>
        <w:tc>
          <w:tcPr>
            <w:tcW w:w="875" w:type="dxa"/>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c>
          <w:tcPr>
            <w:tcW w:w="802" w:type="dxa"/>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c>
          <w:tcPr>
            <w:tcW w:w="3253" w:type="dxa"/>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c>
          <w:tcPr>
            <w:tcW w:w="1502" w:type="dxa"/>
            <w:gridSpan w:val="2"/>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c>
          <w:tcPr>
            <w:tcW w:w="1441" w:type="dxa"/>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c>
          <w:tcPr>
            <w:tcW w:w="1560" w:type="dxa"/>
            <w:tcBorders>
              <w:top w:val="nil"/>
              <w:left w:val="nil"/>
              <w:bottom w:val="nil"/>
              <w:right w:val="nil"/>
            </w:tcBorders>
            <w:shd w:val="clear" w:color="auto" w:fill="auto"/>
            <w:noWrap/>
            <w:vAlign w:val="bottom"/>
            <w:hideMark/>
          </w:tcPr>
          <w:p w:rsidR="00990158" w:rsidRPr="00990158" w:rsidRDefault="00990158" w:rsidP="00990158">
            <w:pPr>
              <w:rPr>
                <w:rFonts w:eastAsia="Times New Roman"/>
                <w:sz w:val="20"/>
                <w:szCs w:val="20"/>
                <w:lang w:val="id-ID" w:eastAsia="id-ID"/>
              </w:rPr>
            </w:pPr>
          </w:p>
        </w:tc>
      </w:tr>
      <w:tr w:rsidR="00990158" w:rsidRPr="00990158" w:rsidTr="00990158">
        <w:trPr>
          <w:trHeight w:val="435"/>
        </w:trPr>
        <w:tc>
          <w:tcPr>
            <w:tcW w:w="875" w:type="dxa"/>
            <w:tcBorders>
              <w:top w:val="single" w:sz="4" w:space="0" w:color="auto"/>
              <w:left w:val="single" w:sz="4" w:space="0" w:color="auto"/>
              <w:bottom w:val="single" w:sz="4" w:space="0" w:color="auto"/>
              <w:right w:val="single" w:sz="4" w:space="0" w:color="auto"/>
            </w:tcBorders>
            <w:shd w:val="clear" w:color="000000" w:fill="5B9BD5"/>
            <w:noWrap/>
            <w:vAlign w:val="center"/>
            <w:hideMark/>
          </w:tcPr>
          <w:p w:rsidR="00990158" w:rsidRPr="00990158" w:rsidRDefault="00990158" w:rsidP="00990158">
            <w:pPr>
              <w:rPr>
                <w:rFonts w:ascii="Calibri" w:eastAsia="Times New Roman" w:hAnsi="Calibri" w:cs="Calibri"/>
                <w:b/>
                <w:bCs/>
                <w:color w:val="000000"/>
                <w:lang w:val="id-ID" w:eastAsia="id-ID"/>
              </w:rPr>
            </w:pPr>
            <w:r w:rsidRPr="00990158">
              <w:rPr>
                <w:rFonts w:ascii="Calibri" w:eastAsia="Times New Roman" w:hAnsi="Calibri" w:cs="Calibri"/>
                <w:b/>
                <w:bCs/>
                <w:color w:val="000000"/>
                <w:lang w:val="id-ID" w:eastAsia="id-ID"/>
              </w:rPr>
              <w:t>No</w:t>
            </w:r>
          </w:p>
        </w:tc>
        <w:tc>
          <w:tcPr>
            <w:tcW w:w="802" w:type="dxa"/>
            <w:tcBorders>
              <w:top w:val="single" w:sz="4" w:space="0" w:color="auto"/>
              <w:left w:val="nil"/>
              <w:bottom w:val="single" w:sz="4" w:space="0" w:color="auto"/>
              <w:right w:val="single" w:sz="4" w:space="0" w:color="auto"/>
            </w:tcBorders>
            <w:shd w:val="clear" w:color="000000" w:fill="5B9BD5"/>
            <w:noWrap/>
            <w:vAlign w:val="center"/>
            <w:hideMark/>
          </w:tcPr>
          <w:p w:rsidR="00990158" w:rsidRPr="00990158" w:rsidRDefault="00990158" w:rsidP="00990158">
            <w:pPr>
              <w:rPr>
                <w:rFonts w:ascii="Calibri" w:eastAsia="Times New Roman" w:hAnsi="Calibri" w:cs="Calibri"/>
                <w:b/>
                <w:bCs/>
                <w:color w:val="000000"/>
                <w:lang w:val="id-ID" w:eastAsia="id-ID"/>
              </w:rPr>
            </w:pPr>
            <w:r w:rsidRPr="00990158">
              <w:rPr>
                <w:rFonts w:ascii="Calibri" w:eastAsia="Times New Roman" w:hAnsi="Calibri" w:cs="Calibri"/>
                <w:b/>
                <w:bCs/>
                <w:color w:val="000000"/>
                <w:lang w:val="id-ID" w:eastAsia="id-ID"/>
              </w:rPr>
              <w:t>KODE</w:t>
            </w:r>
          </w:p>
        </w:tc>
        <w:tc>
          <w:tcPr>
            <w:tcW w:w="3253" w:type="dxa"/>
            <w:tcBorders>
              <w:top w:val="single" w:sz="4" w:space="0" w:color="auto"/>
              <w:left w:val="nil"/>
              <w:bottom w:val="single" w:sz="4" w:space="0" w:color="auto"/>
              <w:right w:val="single" w:sz="4" w:space="0" w:color="auto"/>
            </w:tcBorders>
            <w:shd w:val="clear" w:color="000000" w:fill="5B9BD5"/>
            <w:noWrap/>
            <w:vAlign w:val="center"/>
            <w:hideMark/>
          </w:tcPr>
          <w:p w:rsidR="00990158" w:rsidRPr="00990158" w:rsidRDefault="00990158" w:rsidP="00990158">
            <w:pPr>
              <w:rPr>
                <w:rFonts w:ascii="Calibri" w:eastAsia="Times New Roman" w:hAnsi="Calibri" w:cs="Calibri"/>
                <w:b/>
                <w:bCs/>
                <w:color w:val="000000"/>
                <w:lang w:val="id-ID" w:eastAsia="id-ID"/>
              </w:rPr>
            </w:pPr>
            <w:r w:rsidRPr="00990158">
              <w:rPr>
                <w:rFonts w:ascii="Calibri" w:eastAsia="Times New Roman" w:hAnsi="Calibri" w:cs="Calibri"/>
                <w:b/>
                <w:bCs/>
                <w:color w:val="000000"/>
                <w:lang w:val="id-ID" w:eastAsia="id-ID"/>
              </w:rPr>
              <w:t>Nama Perusahaan</w:t>
            </w:r>
          </w:p>
        </w:tc>
        <w:tc>
          <w:tcPr>
            <w:tcW w:w="1070" w:type="dxa"/>
            <w:tcBorders>
              <w:top w:val="single" w:sz="4" w:space="0" w:color="auto"/>
              <w:left w:val="nil"/>
              <w:bottom w:val="single" w:sz="4" w:space="0" w:color="auto"/>
              <w:right w:val="single" w:sz="4" w:space="0" w:color="auto"/>
            </w:tcBorders>
            <w:shd w:val="clear" w:color="000000" w:fill="5B9BD5"/>
            <w:noWrap/>
            <w:vAlign w:val="center"/>
            <w:hideMark/>
          </w:tcPr>
          <w:p w:rsidR="00990158" w:rsidRPr="00990158" w:rsidRDefault="00990158" w:rsidP="00990158">
            <w:pPr>
              <w:rPr>
                <w:rFonts w:ascii="Calibri" w:eastAsia="Times New Roman" w:hAnsi="Calibri" w:cs="Calibri"/>
                <w:b/>
                <w:bCs/>
                <w:color w:val="000000"/>
                <w:lang w:val="id-ID" w:eastAsia="id-ID"/>
              </w:rPr>
            </w:pPr>
            <w:r w:rsidRPr="00990158">
              <w:rPr>
                <w:rFonts w:ascii="Calibri" w:eastAsia="Times New Roman" w:hAnsi="Calibri" w:cs="Calibri"/>
                <w:b/>
                <w:bCs/>
                <w:color w:val="000000"/>
                <w:lang w:val="id-ID" w:eastAsia="id-ID"/>
              </w:rPr>
              <w:t>Cptl Rp triliun</w:t>
            </w:r>
          </w:p>
        </w:tc>
        <w:tc>
          <w:tcPr>
            <w:tcW w:w="1873" w:type="dxa"/>
            <w:gridSpan w:val="2"/>
            <w:tcBorders>
              <w:top w:val="single" w:sz="4" w:space="0" w:color="auto"/>
              <w:left w:val="nil"/>
              <w:bottom w:val="single" w:sz="4" w:space="0" w:color="auto"/>
              <w:right w:val="single" w:sz="4" w:space="0" w:color="auto"/>
            </w:tcBorders>
            <w:shd w:val="clear" w:color="000000" w:fill="5B9BD5"/>
            <w:noWrap/>
            <w:vAlign w:val="center"/>
            <w:hideMark/>
          </w:tcPr>
          <w:p w:rsidR="00990158" w:rsidRPr="00990158" w:rsidRDefault="00990158" w:rsidP="00990158">
            <w:pPr>
              <w:rPr>
                <w:rFonts w:ascii="Calibri" w:eastAsia="Times New Roman" w:hAnsi="Calibri" w:cs="Calibri"/>
                <w:b/>
                <w:bCs/>
                <w:color w:val="000000"/>
                <w:lang w:val="id-ID" w:eastAsia="id-ID"/>
              </w:rPr>
            </w:pPr>
            <w:r w:rsidRPr="00990158">
              <w:rPr>
                <w:rFonts w:ascii="Calibri" w:eastAsia="Times New Roman" w:hAnsi="Calibri" w:cs="Calibri"/>
                <w:b/>
                <w:bCs/>
                <w:color w:val="000000"/>
                <w:lang w:val="id-ID" w:eastAsia="id-ID"/>
              </w:rPr>
              <w:t>B</w:t>
            </w:r>
            <w:r>
              <w:rPr>
                <w:rFonts w:ascii="Calibri" w:eastAsia="Times New Roman" w:hAnsi="Calibri" w:cs="Calibri"/>
                <w:b/>
                <w:bCs/>
                <w:color w:val="000000"/>
                <w:lang w:eastAsia="id-ID"/>
              </w:rPr>
              <w:t>o</w:t>
            </w:r>
            <w:r w:rsidRPr="00990158">
              <w:rPr>
                <w:rFonts w:ascii="Calibri" w:eastAsia="Times New Roman" w:hAnsi="Calibri" w:cs="Calibri"/>
                <w:b/>
                <w:bCs/>
                <w:color w:val="000000"/>
                <w:lang w:val="id-ID" w:eastAsia="id-ID"/>
              </w:rPr>
              <w:t>b</w:t>
            </w:r>
            <w:r>
              <w:rPr>
                <w:rFonts w:ascii="Calibri" w:eastAsia="Times New Roman" w:hAnsi="Calibri" w:cs="Calibri"/>
                <w:b/>
                <w:bCs/>
                <w:color w:val="000000"/>
                <w:lang w:eastAsia="id-ID"/>
              </w:rPr>
              <w:t>o</w:t>
            </w:r>
            <w:r w:rsidRPr="00990158">
              <w:rPr>
                <w:rFonts w:ascii="Calibri" w:eastAsia="Times New Roman" w:hAnsi="Calibri" w:cs="Calibri"/>
                <w:b/>
                <w:bCs/>
                <w:color w:val="000000"/>
                <w:lang w:val="id-ID" w:eastAsia="id-ID"/>
              </w:rPr>
              <w:t>t Indeks</w:t>
            </w:r>
            <w:r>
              <w:rPr>
                <w:rFonts w:ascii="Calibri" w:eastAsia="Times New Roman" w:hAnsi="Calibri" w:cs="Calibri"/>
                <w:b/>
                <w:bCs/>
                <w:color w:val="000000"/>
                <w:lang w:eastAsia="id-ID"/>
              </w:rPr>
              <w:t xml:space="preserve"> Sektor &amp; Subsektor</w:t>
            </w:r>
            <w:r w:rsidRPr="00990158">
              <w:rPr>
                <w:rFonts w:ascii="Calibri" w:eastAsia="Times New Roman" w:hAnsi="Calibri" w:cs="Calibri"/>
                <w:b/>
                <w:bCs/>
                <w:color w:val="000000"/>
                <w:lang w:val="id-ID" w:eastAsia="id-ID"/>
              </w:rPr>
              <w:t>%</w:t>
            </w:r>
          </w:p>
        </w:tc>
        <w:tc>
          <w:tcPr>
            <w:tcW w:w="1560" w:type="dxa"/>
            <w:tcBorders>
              <w:top w:val="single" w:sz="4" w:space="0" w:color="auto"/>
              <w:left w:val="nil"/>
              <w:bottom w:val="single" w:sz="4" w:space="0" w:color="auto"/>
              <w:right w:val="single" w:sz="4" w:space="0" w:color="auto"/>
            </w:tcBorders>
            <w:shd w:val="clear" w:color="000000" w:fill="5B9BD5"/>
            <w:noWrap/>
            <w:vAlign w:val="center"/>
            <w:hideMark/>
          </w:tcPr>
          <w:p w:rsidR="00990158" w:rsidRPr="00990158" w:rsidRDefault="00990158" w:rsidP="00990158">
            <w:pPr>
              <w:rPr>
                <w:rFonts w:ascii="Calibri" w:eastAsia="Times New Roman" w:hAnsi="Calibri" w:cs="Calibri"/>
                <w:b/>
                <w:bCs/>
                <w:color w:val="000000"/>
                <w:lang w:val="id-ID" w:eastAsia="id-ID"/>
              </w:rPr>
            </w:pPr>
            <w:r w:rsidRPr="00990158">
              <w:rPr>
                <w:rFonts w:ascii="Calibri" w:eastAsia="Times New Roman" w:hAnsi="Calibri" w:cs="Calibri"/>
                <w:b/>
                <w:bCs/>
                <w:color w:val="000000"/>
                <w:lang w:val="id-ID" w:eastAsia="id-ID"/>
              </w:rPr>
              <w:t>Subsektor</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jc w:val="right"/>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UNVR</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Unilever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320,46</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13,83 &amp; 27,37</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Brg Konsumsi</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2 &amp; 1</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ASII</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Astra Internasional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280,35</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12,10 &amp; 75,49</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Aneka Industri</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3 &amp; 2</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HMSP</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HM Sampurna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244,27</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10,54 &amp; 20,86</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Brg Konsumsi</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4 &amp; 1</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TPIA</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Chandra Asri Petrochemical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185,02</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7,98 &amp; 23,87</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Dasar &amp; Kimia</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5 &amp; 2</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BRPT</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Barito Pacific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134,41</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5,80 &amp; 17,34</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Dasar &amp; Kimia</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6 &amp; 3</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ICBP</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Indofood CBP Sukses Makmur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130,03</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5,61 &amp; 11,10</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Brg Konsumsi</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7 &amp; 3</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CPIN</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Charoen Pokphand Indonesia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106,59</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4,60 &amp; 13,75</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Dasar &amp; Kimia</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8 &amp; 4</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GGRM</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Gudang Garam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101,98</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4,40 &amp; 8,71</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Brg Konsumsi</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9 &amp; 5</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KLBF</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Kalbe Farma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75,94</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3,28 &amp; 6,49</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Brg Konsumsi</w:t>
            </w:r>
          </w:p>
        </w:tc>
      </w:tr>
      <w:tr w:rsidR="00990158" w:rsidRPr="00990158" w:rsidTr="00990158">
        <w:trPr>
          <w:trHeight w:val="300"/>
        </w:trPr>
        <w:tc>
          <w:tcPr>
            <w:tcW w:w="875" w:type="dxa"/>
            <w:tcBorders>
              <w:top w:val="nil"/>
              <w:left w:val="single" w:sz="4" w:space="0" w:color="auto"/>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10 &amp; 4</w:t>
            </w:r>
          </w:p>
        </w:tc>
        <w:tc>
          <w:tcPr>
            <w:tcW w:w="802"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SMGR</w:t>
            </w:r>
          </w:p>
        </w:tc>
        <w:tc>
          <w:tcPr>
            <w:tcW w:w="3253"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Semen Indonesia (Persero) tbk</w:t>
            </w:r>
          </w:p>
        </w:tc>
        <w:tc>
          <w:tcPr>
            <w:tcW w:w="107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71,18</w:t>
            </w:r>
          </w:p>
        </w:tc>
        <w:tc>
          <w:tcPr>
            <w:tcW w:w="1873" w:type="dxa"/>
            <w:gridSpan w:val="2"/>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3,07 &amp; 9,18</w:t>
            </w:r>
          </w:p>
        </w:tc>
        <w:tc>
          <w:tcPr>
            <w:tcW w:w="1560" w:type="dxa"/>
            <w:tcBorders>
              <w:top w:val="nil"/>
              <w:left w:val="nil"/>
              <w:bottom w:val="single" w:sz="4" w:space="0" w:color="auto"/>
              <w:right w:val="single" w:sz="4" w:space="0" w:color="auto"/>
            </w:tcBorders>
            <w:shd w:val="clear" w:color="auto" w:fill="auto"/>
            <w:noWrap/>
            <w:vAlign w:val="bottom"/>
            <w:hideMark/>
          </w:tcPr>
          <w:p w:rsidR="00990158" w:rsidRPr="00990158" w:rsidRDefault="00990158" w:rsidP="00990158">
            <w:pPr>
              <w:rPr>
                <w:rFonts w:ascii="Calibri" w:eastAsia="Times New Roman" w:hAnsi="Calibri" w:cs="Calibri"/>
                <w:color w:val="000000"/>
                <w:sz w:val="22"/>
                <w:szCs w:val="22"/>
                <w:lang w:val="id-ID" w:eastAsia="id-ID"/>
              </w:rPr>
            </w:pPr>
            <w:r w:rsidRPr="00990158">
              <w:rPr>
                <w:rFonts w:ascii="Calibri" w:eastAsia="Times New Roman" w:hAnsi="Calibri" w:cs="Calibri"/>
                <w:color w:val="000000"/>
                <w:sz w:val="22"/>
                <w:szCs w:val="22"/>
                <w:lang w:val="id-ID" w:eastAsia="id-ID"/>
              </w:rPr>
              <w:t>Dasar &amp; Kimia</w:t>
            </w:r>
          </w:p>
        </w:tc>
      </w:tr>
    </w:tbl>
    <w:p w:rsidR="00637B4D" w:rsidRPr="00990158" w:rsidRDefault="00990158" w:rsidP="00C87A4F">
      <w:pPr>
        <w:spacing w:line="480" w:lineRule="auto"/>
        <w:ind w:firstLine="720"/>
        <w:jc w:val="both"/>
        <w:rPr>
          <w:sz w:val="20"/>
          <w:szCs w:val="20"/>
        </w:rPr>
      </w:pPr>
      <w:r>
        <w:rPr>
          <w:sz w:val="20"/>
          <w:szCs w:val="20"/>
        </w:rPr>
        <w:t>Sumber: Bursa Efek Indonesia, 2019</w:t>
      </w:r>
    </w:p>
    <w:p w:rsidR="00537A07" w:rsidRDefault="00E66A21" w:rsidP="00C87A4F">
      <w:pPr>
        <w:spacing w:line="480" w:lineRule="auto"/>
        <w:ind w:firstLine="720"/>
        <w:jc w:val="both"/>
      </w:pPr>
      <w:r>
        <w:t xml:space="preserve">Indeks harga saham sektor manufaktur pada awal Januari 2020 mengalami kontraksi. </w:t>
      </w:r>
      <w:r>
        <w:rPr>
          <w:lang w:val="id-ID"/>
        </w:rPr>
        <w:t>S</w:t>
      </w:r>
      <w:r w:rsidRPr="00AC42AB">
        <w:rPr>
          <w:lang w:val="id-ID"/>
        </w:rPr>
        <w:t xml:space="preserve">ektor Manufaktur </w:t>
      </w:r>
      <w:r>
        <w:t xml:space="preserve">melemah sebesar </w:t>
      </w:r>
      <w:r w:rsidRPr="00AC42AB">
        <w:rPr>
          <w:lang w:val="id-ID"/>
        </w:rPr>
        <w:t>-0,24%,</w:t>
      </w:r>
      <w:r>
        <w:t xml:space="preserve"> </w:t>
      </w:r>
      <w:r w:rsidR="00537A07">
        <w:t>sektor aneka industri</w:t>
      </w:r>
      <w:r w:rsidRPr="00E66A21">
        <w:t xml:space="preserve"> melemah -0,84%, </w:t>
      </w:r>
      <w:r>
        <w:t>sektor industri dasar</w:t>
      </w:r>
      <w:r w:rsidR="00537A07">
        <w:t xml:space="preserve"> melemah -0,77%. </w:t>
      </w:r>
      <w:r w:rsidR="00FF41DC">
        <w:t xml:space="preserve">Khususnya untuk sektor aneka industri dapat dimengerti terjadi pelemahan karena ada beberapa karakteristik yang melingkupinya. Sub sektor aneka industri yang paling dominan berisikan perusahaan yang erat dengan persoalan industri otomotif. Faktor yang paling erat kaitannya antara lain, tingkat suku bunga, tingkat inflasi, nilai tukar mata uang, harga minyak mentah dunia, focus mengubah mindset penggunaan energi terbarukan.  </w:t>
      </w:r>
      <w:r w:rsidRPr="00E66A21">
        <w:t xml:space="preserve"> </w:t>
      </w:r>
      <w:r>
        <w:t xml:space="preserve"> </w:t>
      </w:r>
    </w:p>
    <w:p w:rsidR="00E131E3" w:rsidRDefault="004757D9" w:rsidP="00C87A4F">
      <w:pPr>
        <w:spacing w:line="480" w:lineRule="auto"/>
        <w:ind w:firstLine="720"/>
        <w:jc w:val="both"/>
      </w:pPr>
      <w:r>
        <w:lastRenderedPageBreak/>
        <w:t>Pada saat kajian penelitian ini dilakukan, dunia mengalami kasus pandemic covid-19</w:t>
      </w:r>
      <w:r w:rsidR="00E225C7">
        <w:t xml:space="preserve"> dan negara kita juga terkena</w:t>
      </w:r>
      <w:r>
        <w:t xml:space="preserve">. </w:t>
      </w:r>
      <w:r w:rsidR="00E131E3">
        <w:t xml:space="preserve">Pada perdagangan saham di hari Rabu, 26 Februari 2020 dari 10 sektor yang tersedia di BEI ternyata indeks sektor manufaktur mengalami kontraksi paling besar yakni 2,16%. Bahkan untuk perhitungan </w:t>
      </w:r>
      <w:r w:rsidR="00E131E3" w:rsidRPr="00E131E3">
        <w:rPr>
          <w:lang w:val="id-ID"/>
        </w:rPr>
        <w:t>selama tahun berjalan atau</w:t>
      </w:r>
      <w:r w:rsidR="00E131E3" w:rsidRPr="00E131E3">
        <w:rPr>
          <w:i/>
          <w:iCs/>
          <w:lang w:val="id-ID"/>
        </w:rPr>
        <w:t> year to date</w:t>
      </w:r>
      <w:r w:rsidR="00E131E3" w:rsidRPr="00E131E3">
        <w:rPr>
          <w:lang w:val="id-ID"/>
        </w:rPr>
        <w:t xml:space="preserve">, </w:t>
      </w:r>
      <w:r w:rsidR="00E131E3">
        <w:t>mengalami kontraksi sebesar</w:t>
      </w:r>
      <w:r w:rsidR="00E131E3" w:rsidRPr="00E131E3">
        <w:rPr>
          <w:lang w:val="id-ID"/>
        </w:rPr>
        <w:t xml:space="preserve"> 13,57%</w:t>
      </w:r>
      <w:r w:rsidR="00E131E3">
        <w:t>.</w:t>
      </w:r>
      <w:r w:rsidR="00FA19CD">
        <w:t xml:space="preserve"> Sementara itu apabila dilihat dari nilai kapitalisasi saham </w:t>
      </w:r>
      <w:r w:rsidR="00FA19CD">
        <w:rPr>
          <w:lang w:val="id-ID"/>
        </w:rPr>
        <w:t>sektor manufaktur mengalami</w:t>
      </w:r>
      <w:r w:rsidR="00FA19CD" w:rsidRPr="00086E49">
        <w:rPr>
          <w:lang w:val="id-ID"/>
        </w:rPr>
        <w:t xml:space="preserve"> </w:t>
      </w:r>
      <w:r w:rsidR="00FA19CD">
        <w:t xml:space="preserve">penurunan </w:t>
      </w:r>
      <w:r w:rsidR="00FA19CD" w:rsidRPr="00086E49">
        <w:rPr>
          <w:lang w:val="id-ID"/>
        </w:rPr>
        <w:t>d</w:t>
      </w:r>
      <w:r w:rsidR="00FA19CD">
        <w:rPr>
          <w:lang w:val="id-ID"/>
        </w:rPr>
        <w:t>ari Rp 2.317,14 triliun akhir tahun</w:t>
      </w:r>
      <w:r w:rsidR="00FA19CD" w:rsidRPr="00086E49">
        <w:rPr>
          <w:lang w:val="id-ID"/>
        </w:rPr>
        <w:t xml:space="preserve"> 2019 menjadi Rp 2.008,01 triliun</w:t>
      </w:r>
      <w:r w:rsidR="00FA19CD">
        <w:t xml:space="preserve"> pada hari Rabu 26 Februari 2020. Sehingga besarnya penurunan kapitalisasi saham sebesar</w:t>
      </w:r>
      <w:r w:rsidR="00FA19CD">
        <w:rPr>
          <w:lang w:val="id-ID"/>
        </w:rPr>
        <w:t xml:space="preserve"> Rp309,13 dan secara</w:t>
      </w:r>
      <w:r w:rsidR="00FA19CD" w:rsidRPr="00086E49">
        <w:rPr>
          <w:lang w:val="id-ID"/>
        </w:rPr>
        <w:t xml:space="preserve"> nominal, penurunan nilai kapitalisasi tersebut merupakan yang terbesar dari 10 sektor.</w:t>
      </w:r>
      <w:r w:rsidR="00C50120">
        <w:t xml:space="preserve"> Kondisi selengkapnya dapat dilihat dari tabel dibawah ini diambil dari sumber data di BEI.</w:t>
      </w:r>
      <w:r w:rsidR="00074EDE">
        <w:t xml:space="preserve"> </w:t>
      </w:r>
    </w:p>
    <w:p w:rsidR="00074EDE" w:rsidRDefault="00074EDE" w:rsidP="00537A07">
      <w:pPr>
        <w:spacing w:line="480" w:lineRule="auto"/>
        <w:jc w:val="both"/>
      </w:pPr>
      <w:r w:rsidRPr="00086E49">
        <w:rPr>
          <w:noProof/>
          <w:lang w:val="id-ID" w:eastAsia="id-ID"/>
        </w:rPr>
        <w:drawing>
          <wp:inline distT="0" distB="0" distL="0" distR="0" wp14:anchorId="36ACB7CD" wp14:editId="1B13FBEE">
            <wp:extent cx="5905500" cy="2695575"/>
            <wp:effectExtent l="0" t="0" r="0" b="9525"/>
            <wp:docPr id="6" name="Picture 6" descr="Terparah di BEI, Kapitalisasi Sektor Manufaktur Raib Rp 309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parah di BEI, Kapitalisasi Sektor Manufaktur Raib Rp 309 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05500" cy="2695575"/>
                    </a:xfrm>
                    <a:prstGeom prst="rect">
                      <a:avLst/>
                    </a:prstGeom>
                    <a:noFill/>
                    <a:ln>
                      <a:noFill/>
                    </a:ln>
                  </pic:spPr>
                </pic:pic>
              </a:graphicData>
            </a:graphic>
          </wp:inline>
        </w:drawing>
      </w:r>
    </w:p>
    <w:p w:rsidR="00074EDE" w:rsidRPr="00C50120" w:rsidRDefault="00074EDE" w:rsidP="00C87A4F">
      <w:pPr>
        <w:spacing w:line="480" w:lineRule="auto"/>
        <w:ind w:firstLine="720"/>
        <w:jc w:val="both"/>
      </w:pPr>
    </w:p>
    <w:p w:rsidR="00FB1952" w:rsidRPr="00E225C7" w:rsidRDefault="00E225C7" w:rsidP="002F2C2B">
      <w:pPr>
        <w:spacing w:line="480" w:lineRule="auto"/>
        <w:ind w:firstLine="720"/>
        <w:jc w:val="both"/>
      </w:pPr>
      <w:r>
        <w:t>Sehingga berdasarkan data yang terinformasikan, p</w:t>
      </w:r>
      <w:r w:rsidR="00FB1952">
        <w:t xml:space="preserve">ada tanggal 20 Maret 2020 siang IHSG berada pada zona merah yakni </w:t>
      </w:r>
      <w:r w:rsidR="00FB1952" w:rsidRPr="00FB1952">
        <w:t>melemah -70,434 poin atau terkoreksi -1,71% ke level  4.034,988.</w:t>
      </w:r>
      <w:r w:rsidR="00FB1952">
        <w:t xml:space="preserve"> Berdasarkan</w:t>
      </w:r>
      <w:r w:rsidR="00FB1952" w:rsidRPr="00FB1952">
        <w:t xml:space="preserve"> data perdagangan </w:t>
      </w:r>
      <w:r w:rsidR="00FB1952">
        <w:t>yang tersaji di papan BEI diinfromasikan bahwa dari 10 indeks sektoral ternyata sebanyak 9 sektor menjadi penyebab</w:t>
      </w:r>
      <w:r w:rsidR="00FB1952" w:rsidRPr="00FB1952">
        <w:t xml:space="preserve"> IHSG ke zona merah.</w:t>
      </w:r>
      <w:r w:rsidR="00EE3279">
        <w:t xml:space="preserve"> </w:t>
      </w:r>
      <w:r w:rsidR="00EE3279" w:rsidRPr="00EE3279">
        <w:t>Pe</w:t>
      </w:r>
      <w:r w:rsidR="00EE3279">
        <w:t>nyebab utama terjadinya pelemahan terbesar terjadi</w:t>
      </w:r>
      <w:r w:rsidR="00EE3279" w:rsidRPr="00EE3279">
        <w:t xml:space="preserve"> pada </w:t>
      </w:r>
      <w:r w:rsidR="00EE3279">
        <w:t xml:space="preserve">indeks </w:t>
      </w:r>
      <w:r w:rsidR="00EE3279" w:rsidRPr="00EE3279">
        <w:t xml:space="preserve">sektor Aneka Industri yang turun -4,84%. Selain </w:t>
      </w:r>
      <w:r w:rsidR="00EE3279" w:rsidRPr="00EE3279">
        <w:lastRenderedPageBreak/>
        <w:t xml:space="preserve">itu </w:t>
      </w:r>
      <w:r w:rsidR="00EE3279">
        <w:t xml:space="preserve">indeks: </w:t>
      </w:r>
      <w:r w:rsidR="00EE3279" w:rsidRPr="00EE3279">
        <w:t xml:space="preserve">sektor manufaktur </w:t>
      </w:r>
      <w:r w:rsidR="00EE3279">
        <w:t xml:space="preserve">melemah sebesar </w:t>
      </w:r>
      <w:r w:rsidR="00EE3279" w:rsidRPr="00EE3279">
        <w:t>-1,56%, sektor Consumer</w:t>
      </w:r>
      <w:r w:rsidR="00EE3279">
        <w:t xml:space="preserve"> melemah sebesar</w:t>
      </w:r>
      <w:r w:rsidR="00EE3279" w:rsidRPr="00EE3279">
        <w:t xml:space="preserve"> -0,03%, </w:t>
      </w:r>
      <w:r w:rsidR="00EE3279">
        <w:t>serta</w:t>
      </w:r>
      <w:r w:rsidR="00EE3279" w:rsidRPr="00EE3279">
        <w:t xml:space="preserve"> </w:t>
      </w:r>
      <w:r w:rsidR="00EE3279">
        <w:t>sektor Industri Dasar melemah sebesar</w:t>
      </w:r>
      <w:r w:rsidR="00EE3279" w:rsidRPr="00EE3279">
        <w:t xml:space="preserve"> -2,76%.</w:t>
      </w:r>
      <w:r>
        <w:t xml:space="preserve"> Kondisi tersebut disebabkan oleh </w:t>
      </w:r>
      <w:r w:rsidRPr="00E225C7">
        <w:t xml:space="preserve">Investor asing </w:t>
      </w:r>
      <w:r>
        <w:t xml:space="preserve">yanga </w:t>
      </w:r>
      <w:r w:rsidRPr="00E225C7">
        <w:t xml:space="preserve">tercatat melakukan aksi beli sebesar Rp1,741 triliun </w:t>
      </w:r>
      <w:r>
        <w:t>sedangkan</w:t>
      </w:r>
      <w:r w:rsidRPr="00E225C7">
        <w:t xml:space="preserve"> aksi jual sebesar </w:t>
      </w:r>
      <w:r>
        <w:t>Rp2,066 triliun. Oleh karena ituinvestor</w:t>
      </w:r>
      <w:r w:rsidRPr="00E225C7">
        <w:t xml:space="preserve"> asing tercatat </w:t>
      </w:r>
      <w:r>
        <w:t xml:space="preserve">melakukan </w:t>
      </w:r>
      <w:r w:rsidRPr="00E225C7">
        <w:rPr>
          <w:i/>
        </w:rPr>
        <w:t>net sell</w:t>
      </w:r>
      <w:r>
        <w:t xml:space="preserve"> </w:t>
      </w:r>
      <w:r w:rsidRPr="00E225C7">
        <w:t>sebesar Rp325 miliar.</w:t>
      </w:r>
      <w:r>
        <w:t xml:space="preserve"> Apabila mengacu pada </w:t>
      </w:r>
      <w:r w:rsidRPr="00252975">
        <w:rPr>
          <w:lang w:val="id-ID"/>
        </w:rPr>
        <w:t xml:space="preserve">data manufaktur </w:t>
      </w:r>
      <w:r w:rsidR="00537A07">
        <w:t xml:space="preserve">indeks manajer pembelian </w:t>
      </w:r>
      <w:r w:rsidRPr="00E225C7">
        <w:t xml:space="preserve">Indonesia </w:t>
      </w:r>
      <w:r>
        <w:t>(</w:t>
      </w:r>
      <w:r w:rsidR="00537A07">
        <w:t xml:space="preserve">PMI = </w:t>
      </w:r>
      <w:hyperlink r:id="rId28" w:tgtFrame="_blank" w:history="1">
        <w:r w:rsidRPr="00E225C7">
          <w:rPr>
            <w:rStyle w:val="Hyperlink"/>
            <w:color w:val="000000" w:themeColor="text1"/>
            <w:u w:val="none"/>
            <w:lang w:val="id-ID"/>
          </w:rPr>
          <w:t>Purchasing Managers Index</w:t>
        </w:r>
      </w:hyperlink>
      <w:r>
        <w:t xml:space="preserve">) </w:t>
      </w:r>
      <w:r w:rsidRPr="00252975">
        <w:rPr>
          <w:lang w:val="id-ID"/>
        </w:rPr>
        <w:t>untuk periode Maret tercatat di level 45,3 atau merupakan kontraksi terburuk yang dibukukan selama sembilan tahun survei tersebut dilakukan.</w:t>
      </w:r>
      <w:r w:rsidR="00074EDE">
        <w:t xml:space="preserve"> Kondisi pandemic ini dapat diringkas menjadi</w:t>
      </w:r>
      <w:r>
        <w:t xml:space="preserve"> empat </w:t>
      </w:r>
      <w:r w:rsidR="00074EDE">
        <w:t>alasan</w:t>
      </w:r>
      <w:r>
        <w:t xml:space="preserve"> terjadinya kontraksi tersebut yaitu: pertama diduga penyebaran covid-19 sulit d</w:t>
      </w:r>
      <w:r w:rsidR="00074EDE">
        <w:t xml:space="preserve">iredam terlebih lagi dimulai dari Hubei China yang merupakan </w:t>
      </w:r>
      <w:r w:rsidR="00074EDE" w:rsidRPr="00074EDE">
        <w:t xml:space="preserve">pusat industri manufaktur untuk pembuatan baja, automobil dan elektronik terutama semikonduktor </w:t>
      </w:r>
      <w:r w:rsidR="00074EDE">
        <w:t xml:space="preserve">dan komponen elektronik lainnya. Sementara itu </w:t>
      </w:r>
      <w:r w:rsidR="00074EDE" w:rsidRPr="00086E49">
        <w:rPr>
          <w:lang w:val="id-ID"/>
        </w:rPr>
        <w:t>China banyak memproduksi produk manufaktur antara yang kemudian diekspor ke berbagai negara Asia lainnya</w:t>
      </w:r>
      <w:r w:rsidR="00074EDE">
        <w:t xml:space="preserve"> termasuk Indoenesia</w:t>
      </w:r>
      <w:r>
        <w:t xml:space="preserve">; kedua, </w:t>
      </w:r>
      <w:r w:rsidR="00074EDE">
        <w:t xml:space="preserve">pada awal bulan Februari 2020, </w:t>
      </w:r>
      <w:r>
        <w:t>pemerintah sudah memberikan pengumuman tentang terjadin</w:t>
      </w:r>
      <w:r w:rsidR="00074EDE">
        <w:t xml:space="preserve">ya 2 orang terkena </w:t>
      </w:r>
      <w:r>
        <w:t>kasus positif covid-19 di Indonesia</w:t>
      </w:r>
      <w:r w:rsidR="00074EDE">
        <w:t xml:space="preserve"> meskipun baru wilayah Depok tetapi beraktivitas di Jakarta</w:t>
      </w:r>
      <w:r>
        <w:t>; ketiga, adanya libur idul fitri yang relatif panjang sehingga dapat memberikan tekanan terhadap sektor manufaktur</w:t>
      </w:r>
      <w:r w:rsidR="00074EDE">
        <w:t xml:space="preserve"> terutama berupa delay pasokan bahan baku maupun bahan penolong</w:t>
      </w:r>
      <w:r w:rsidR="00247F1C">
        <w:t xml:space="preserve"> dari China. Sehingga </w:t>
      </w:r>
      <w:r w:rsidR="00247F1C" w:rsidRPr="00247F1C">
        <w:t>sektor manufaktur Indonesia juga berpotensi terkena dampak dari delay produksi China akibat masih merebaknya virus corona</w:t>
      </w:r>
      <w:r>
        <w:t>; keempat, terjadinya pelemahan nilai tukar rupiah, sehingga perusahaan akan mengurangi outputny</w:t>
      </w:r>
      <w:r w:rsidR="0086378A">
        <w:t>a disebabkan terdapat sebagian bahan bakunya impor.</w:t>
      </w:r>
    </w:p>
    <w:p w:rsidR="004757D9" w:rsidRDefault="004757D9" w:rsidP="00C87A4F">
      <w:pPr>
        <w:spacing w:line="480" w:lineRule="auto"/>
        <w:ind w:firstLine="720"/>
        <w:jc w:val="both"/>
      </w:pPr>
      <w:r>
        <w:t>Namun demikian b</w:t>
      </w:r>
      <w:r w:rsidR="00BB13C7">
        <w:t>erdasarkan data yang tersaji di</w:t>
      </w:r>
      <w:r w:rsidR="00074EDE">
        <w:t xml:space="preserve"> BEI pada tanggal 6 April 2020</w:t>
      </w:r>
      <w:r w:rsidR="00BB13C7">
        <w:t xml:space="preserve"> sektor manufaktur khususnya beberapa sub sektor industri mengalami penguatan indeks harga saham. </w:t>
      </w:r>
      <w:r w:rsidR="00BB13C7" w:rsidRPr="00BB13C7">
        <w:t xml:space="preserve">Indeks sektor industri dasar dan kimia memimpin kenaikan sebesar 11,39%, disusul manufaktur </w:t>
      </w:r>
      <w:r w:rsidR="00BB13C7" w:rsidRPr="00BB13C7">
        <w:lastRenderedPageBreak/>
        <w:t>6,01%, industri barang konsumsi 5,46%</w:t>
      </w:r>
      <w:r w:rsidR="00BB13C7">
        <w:t>. Keadaan ini tentu saja merupakan sebagai konsekuensi positif adanya kepedulian dari kebijakan pemerintah berupa adanya tambahan belanja dan pembiayaan APBN 2020. Salah satu wujudnya adalah</w:t>
      </w:r>
      <w:r w:rsidR="00BB13C7" w:rsidRPr="00BB13C7">
        <w:t xml:space="preserve"> dukungan kepada industr</w:t>
      </w:r>
      <w:r w:rsidR="00BB13C7">
        <w:t>i senilai Rp 70,1 triliun dalam bentuk</w:t>
      </w:r>
      <w:r w:rsidR="00BB13C7" w:rsidRPr="00BB13C7">
        <w:t xml:space="preserve"> insentif pajak dan </w:t>
      </w:r>
      <w:r w:rsidR="00867176">
        <w:t>bea</w:t>
      </w:r>
      <w:r w:rsidR="00BB13C7" w:rsidRPr="00BB13C7">
        <w:t xml:space="preserve"> masuk serta kredit usaha rakyat (KUR)</w:t>
      </w:r>
      <w:r w:rsidR="00BB13C7">
        <w:t>.</w:t>
      </w:r>
    </w:p>
    <w:p w:rsidR="009E423A" w:rsidRDefault="00BB13C7" w:rsidP="00413241">
      <w:pPr>
        <w:spacing w:line="480" w:lineRule="auto"/>
        <w:ind w:firstLine="720"/>
        <w:jc w:val="both"/>
      </w:pPr>
      <w:r>
        <w:t xml:space="preserve"> </w:t>
      </w:r>
      <w:r w:rsidR="00413241">
        <w:t>Pada bulan April 2020 ternyata beberapa</w:t>
      </w:r>
      <w:r w:rsidR="00413241" w:rsidRPr="005D2654">
        <w:t xml:space="preserve"> </w:t>
      </w:r>
      <w:r w:rsidR="00413241">
        <w:t xml:space="preserve">harga </w:t>
      </w:r>
      <w:r w:rsidR="00413241" w:rsidRPr="005D2654">
        <w:t>saham emiten in</w:t>
      </w:r>
      <w:r w:rsidR="00413241">
        <w:t>dustri dasar dan kimia mengalami penguatan</w:t>
      </w:r>
      <w:r w:rsidR="00413241" w:rsidRPr="005D2654">
        <w:t xml:space="preserve">. </w:t>
      </w:r>
      <w:r w:rsidR="00413241">
        <w:t xml:space="preserve">Volatilitas pasar saham sebagai dampak pandemic </w:t>
      </w:r>
      <w:r w:rsidR="00F77385">
        <w:t>covid-19 ternyata i</w:t>
      </w:r>
      <w:r w:rsidR="00407E43">
        <w:t>ndustri subsek</w:t>
      </w:r>
      <w:r w:rsidR="00413241">
        <w:t>tor dasar dan kimia relatif dapat</w:t>
      </w:r>
      <w:r w:rsidR="00413241" w:rsidRPr="005D2654">
        <w:t xml:space="preserve"> bertahan</w:t>
      </w:r>
      <w:r w:rsidR="00413241">
        <w:t xml:space="preserve">. Sejak tanggal 1 April 2020 sampai tanggal 30 April 2020, berdasarkan data yang dikutip dari Kompas100 terdapat lima emiten yang mempunyai penguatan harga saham </w:t>
      </w:r>
      <w:r w:rsidR="00F77385">
        <w:t>tinggi</w:t>
      </w:r>
      <w:r w:rsidR="00413241">
        <w:t>. Pertama, PT Chandra Asri Petrochemical Tbk (TPIA). Harga saham TPIA berada di level 7.650, menguat 2.400 poin atau 45,71%. Kedua, PT Semen Baturaja Tbk. (SMBR) ini berada pada level 284. Posisi ini menguat 44,16% atau 87 poin. Ketiga PT Barito Pasific Tbk. (BRPT) ini berada pada level 970. Posisi ini menguat 32,79% atau 245 poin. Keempat adalah PT Pakuwon Jati Tbk. (PWON) ini berada pada level 410. Posisi ini menguat 33,12% atau 102 poin. Kelima adalah PT Malindo Feedmill Tbk. (MAIN) ini berada pada level 535. Posisi ini menguat 31,77% atau 129 poin.</w:t>
      </w:r>
      <w:r w:rsidR="00413241" w:rsidRPr="00222F7E">
        <w:t xml:space="preserve"> </w:t>
      </w:r>
      <w:r w:rsidR="00F77385">
        <w:t>Peningkatan harga saham tersebut misalnya untuk produk kimia menjadi sangat besar dikarenakan menghasilkan kebutuhan dasar seperti disinfektan untuk dapat melindungi dari terkena virus covid-19.</w:t>
      </w:r>
      <w:r w:rsidR="001802CF">
        <w:t xml:space="preserve"> Namun khususnya untuk PT. Semen Baturaja Tbk. kenaikan harga saham tersebut terjadi karena pada bulan sebelumnya sudah turun cukup tajam. Oleh karena itu</w:t>
      </w:r>
      <w:r w:rsidR="00EA00CF">
        <w:t xml:space="preserve"> kenaikan harga saham tersebut sangat dimungkinkan disebabkan valuasi yang sangat murah sehingga berbalik menguat.</w:t>
      </w:r>
      <w:r w:rsidR="00C4032C">
        <w:t xml:space="preserve"> </w:t>
      </w:r>
    </w:p>
    <w:p w:rsidR="00FF41DC" w:rsidRDefault="00FF41DC" w:rsidP="00413241">
      <w:pPr>
        <w:spacing w:line="480" w:lineRule="auto"/>
        <w:ind w:firstLine="720"/>
        <w:jc w:val="both"/>
      </w:pPr>
      <w:r>
        <w:t xml:space="preserve">Volatilitas harga saham dan indeks sektor manufaktur disertai berbagai indeks subsektor yang tersaji maka dapat dianalisis bahwa kebijakan penetapan </w:t>
      </w:r>
      <w:r w:rsidR="00867176">
        <w:t>bea</w:t>
      </w:r>
      <w:r>
        <w:t xml:space="preserve"> masuk barang impor </w:t>
      </w:r>
      <w:r w:rsidR="00010263">
        <w:t xml:space="preserve">e-commerce </w:t>
      </w:r>
      <w:r>
        <w:t>tidak terlalu kuat berpengaruh terhadap perubahan harga saham. Kondisi ini dapat</w:t>
      </w:r>
      <w:r w:rsidR="00010263">
        <w:t xml:space="preserve"> </w:t>
      </w:r>
      <w:r>
        <w:lastRenderedPageBreak/>
        <w:t xml:space="preserve">terjadi sebagai akibat pandemic covid-19 yang sulit untuk diperkirakan oleh semua orang. Akibatnya para investor dapat mengambil keputusan dengan cara panic buying dan panic selling. Para investor akan berusaha untuk mencari alternatif aman mempertahankan kepemilikan finansial agar tidak tergerus habis. </w:t>
      </w:r>
    </w:p>
    <w:p w:rsidR="00FF41DC" w:rsidRDefault="00FF41DC" w:rsidP="00413241">
      <w:pPr>
        <w:spacing w:line="480" w:lineRule="auto"/>
        <w:ind w:firstLine="720"/>
        <w:jc w:val="both"/>
      </w:pPr>
      <w:r>
        <w:t xml:space="preserve">Oleh karena itu sangat wajar apabila untuk sektor industri manufaktur serta sub sektor pendukungnya saat awal pandemic covid-19 terjadi pelemahan indeks. Namun demikian ketika pandemic covid ini masih berlangsung maka subsektor industri kimia dasar justru mengalami perbaikan indeks. Penguatan ini menjadikan isyarat positif akan terjadinya penguatan indeks harga saham gabungan. </w:t>
      </w:r>
    </w:p>
    <w:p w:rsidR="00891145" w:rsidRDefault="00891145" w:rsidP="00413241">
      <w:pPr>
        <w:spacing w:line="480" w:lineRule="auto"/>
        <w:ind w:firstLine="720"/>
        <w:jc w:val="both"/>
      </w:pPr>
      <w:r>
        <w:br w:type="page"/>
      </w:r>
    </w:p>
    <w:p w:rsidR="00010263" w:rsidRPr="00891145" w:rsidRDefault="00891145" w:rsidP="00891145">
      <w:pPr>
        <w:spacing w:line="480" w:lineRule="auto"/>
        <w:ind w:firstLine="720"/>
        <w:jc w:val="center"/>
        <w:rPr>
          <w:b/>
        </w:rPr>
      </w:pPr>
      <w:r w:rsidRPr="00891145">
        <w:rPr>
          <w:b/>
        </w:rPr>
        <w:lastRenderedPageBreak/>
        <w:t>BAB V</w:t>
      </w:r>
    </w:p>
    <w:p w:rsidR="00891145" w:rsidRPr="00891145" w:rsidRDefault="00891145" w:rsidP="00891145">
      <w:pPr>
        <w:spacing w:line="480" w:lineRule="auto"/>
        <w:ind w:firstLine="720"/>
        <w:jc w:val="center"/>
        <w:rPr>
          <w:b/>
        </w:rPr>
      </w:pPr>
      <w:r w:rsidRPr="00891145">
        <w:rPr>
          <w:b/>
        </w:rPr>
        <w:t>KESIMPULAN DAN SARAN</w:t>
      </w:r>
    </w:p>
    <w:p w:rsidR="00891145" w:rsidRDefault="00891145" w:rsidP="00413241">
      <w:pPr>
        <w:spacing w:line="480" w:lineRule="auto"/>
        <w:ind w:firstLine="720"/>
        <w:jc w:val="both"/>
      </w:pPr>
    </w:p>
    <w:p w:rsidR="00891145" w:rsidRPr="00891145" w:rsidRDefault="00891145" w:rsidP="00891145">
      <w:pPr>
        <w:spacing w:line="480" w:lineRule="auto"/>
        <w:jc w:val="both"/>
        <w:rPr>
          <w:b/>
        </w:rPr>
      </w:pPr>
      <w:r w:rsidRPr="00891145">
        <w:rPr>
          <w:b/>
        </w:rPr>
        <w:t>5.1. Kesimpulan</w:t>
      </w:r>
    </w:p>
    <w:p w:rsidR="00891145" w:rsidRDefault="00891145" w:rsidP="00413241">
      <w:pPr>
        <w:spacing w:line="480" w:lineRule="auto"/>
        <w:ind w:firstLine="720"/>
        <w:jc w:val="both"/>
      </w:pPr>
      <w:r>
        <w:t>Berdasarkan hasil analisis di atas maka dapat diperoleh kesimpulan sebagai berikut:</w:t>
      </w:r>
    </w:p>
    <w:p w:rsidR="00891145" w:rsidRPr="00891145" w:rsidRDefault="00891145" w:rsidP="00891145">
      <w:pPr>
        <w:pStyle w:val="ListParagraph"/>
        <w:numPr>
          <w:ilvl w:val="0"/>
          <w:numId w:val="17"/>
        </w:numPr>
        <w:spacing w:line="480" w:lineRule="auto"/>
        <w:ind w:left="360"/>
        <w:jc w:val="both"/>
        <w:rPr>
          <w:rFonts w:ascii="Times New Roman" w:hAnsi="Times New Roman" w:cs="Times New Roman"/>
          <w:sz w:val="24"/>
          <w:szCs w:val="24"/>
        </w:rPr>
      </w:pPr>
      <w:r w:rsidRPr="00891145">
        <w:rPr>
          <w:rFonts w:ascii="Times New Roman" w:hAnsi="Times New Roman" w:cs="Times New Roman"/>
          <w:sz w:val="24"/>
          <w:szCs w:val="24"/>
        </w:rPr>
        <w:t xml:space="preserve">Bahwa tariff </w:t>
      </w:r>
      <w:r w:rsidR="00867176">
        <w:rPr>
          <w:rFonts w:ascii="Times New Roman" w:hAnsi="Times New Roman" w:cs="Times New Roman"/>
          <w:sz w:val="24"/>
          <w:szCs w:val="24"/>
        </w:rPr>
        <w:t>bea</w:t>
      </w:r>
      <w:r w:rsidRPr="00891145">
        <w:rPr>
          <w:rFonts w:ascii="Times New Roman" w:hAnsi="Times New Roman" w:cs="Times New Roman"/>
          <w:sz w:val="24"/>
          <w:szCs w:val="24"/>
        </w:rPr>
        <w:t xml:space="preserve"> masuk tidak banyak mempunyai pengaruh yang kuat terhadap perubahan harga saham, namun pandem</w:t>
      </w:r>
      <w:r w:rsidR="00F708E9">
        <w:rPr>
          <w:rFonts w:ascii="Times New Roman" w:hAnsi="Times New Roman" w:cs="Times New Roman"/>
          <w:sz w:val="24"/>
          <w:szCs w:val="24"/>
        </w:rPr>
        <w:t xml:space="preserve">ic covid-19 justru menyebabkan </w:t>
      </w:r>
      <w:r w:rsidRPr="00891145">
        <w:rPr>
          <w:rFonts w:ascii="Times New Roman" w:hAnsi="Times New Roman" w:cs="Times New Roman"/>
          <w:sz w:val="24"/>
          <w:szCs w:val="24"/>
        </w:rPr>
        <w:t>terjadinya volatilitas indeks harga saham baik secara sektoral maupun subsektor.</w:t>
      </w:r>
    </w:p>
    <w:p w:rsidR="00891145" w:rsidRPr="00891145" w:rsidRDefault="00891145" w:rsidP="00891145">
      <w:pPr>
        <w:pStyle w:val="ListParagraph"/>
        <w:numPr>
          <w:ilvl w:val="0"/>
          <w:numId w:val="17"/>
        </w:numPr>
        <w:spacing w:line="480" w:lineRule="auto"/>
        <w:ind w:left="360"/>
        <w:jc w:val="both"/>
        <w:rPr>
          <w:rFonts w:ascii="Times New Roman" w:hAnsi="Times New Roman" w:cs="Times New Roman"/>
          <w:sz w:val="24"/>
          <w:szCs w:val="24"/>
        </w:rPr>
      </w:pPr>
      <w:r w:rsidRPr="00891145">
        <w:rPr>
          <w:rFonts w:ascii="Times New Roman" w:hAnsi="Times New Roman" w:cs="Times New Roman"/>
          <w:sz w:val="24"/>
          <w:szCs w:val="24"/>
        </w:rPr>
        <w:t>Terdapat beberapa subse</w:t>
      </w:r>
      <w:r w:rsidR="00F708E9">
        <w:rPr>
          <w:rFonts w:ascii="Times New Roman" w:hAnsi="Times New Roman" w:cs="Times New Roman"/>
          <w:sz w:val="24"/>
          <w:szCs w:val="24"/>
        </w:rPr>
        <w:t>k</w:t>
      </w:r>
      <w:r w:rsidRPr="00891145">
        <w:rPr>
          <w:rFonts w:ascii="Times New Roman" w:hAnsi="Times New Roman" w:cs="Times New Roman"/>
          <w:sz w:val="24"/>
          <w:szCs w:val="24"/>
        </w:rPr>
        <w:t>tor yang memberikan nilai penurunan indeks maupun nilai kapitalisasi harga saham. Meskipun demiki</w:t>
      </w:r>
      <w:r w:rsidR="00F708E9">
        <w:rPr>
          <w:rFonts w:ascii="Times New Roman" w:hAnsi="Times New Roman" w:cs="Times New Roman"/>
          <w:sz w:val="24"/>
          <w:szCs w:val="24"/>
        </w:rPr>
        <w:t>an terdapat pula beberapa subsek</w:t>
      </w:r>
      <w:r w:rsidRPr="00891145">
        <w:rPr>
          <w:rFonts w:ascii="Times New Roman" w:hAnsi="Times New Roman" w:cs="Times New Roman"/>
          <w:sz w:val="24"/>
          <w:szCs w:val="24"/>
        </w:rPr>
        <w:t>tor yang memberikan peningkatan indeks maupun nilai kapitalisasi harga saham.</w:t>
      </w:r>
    </w:p>
    <w:p w:rsidR="00891145" w:rsidRPr="00891145" w:rsidRDefault="00891145" w:rsidP="00891145">
      <w:pPr>
        <w:pStyle w:val="ListParagraph"/>
        <w:numPr>
          <w:ilvl w:val="0"/>
          <w:numId w:val="17"/>
        </w:numPr>
        <w:spacing w:line="480" w:lineRule="auto"/>
        <w:ind w:left="360"/>
        <w:jc w:val="both"/>
        <w:rPr>
          <w:rFonts w:ascii="Times New Roman" w:hAnsi="Times New Roman" w:cs="Times New Roman"/>
          <w:sz w:val="24"/>
          <w:szCs w:val="24"/>
        </w:rPr>
      </w:pPr>
      <w:r w:rsidRPr="00891145">
        <w:rPr>
          <w:rFonts w:ascii="Times New Roman" w:hAnsi="Times New Roman" w:cs="Times New Roman"/>
          <w:sz w:val="24"/>
          <w:szCs w:val="24"/>
        </w:rPr>
        <w:t xml:space="preserve">Penguatan nilai </w:t>
      </w:r>
      <w:r w:rsidR="00F708E9">
        <w:rPr>
          <w:rFonts w:ascii="Times New Roman" w:hAnsi="Times New Roman" w:cs="Times New Roman"/>
          <w:sz w:val="24"/>
          <w:szCs w:val="24"/>
        </w:rPr>
        <w:t>indeks paling banyak dari subsek</w:t>
      </w:r>
      <w:r w:rsidRPr="00891145">
        <w:rPr>
          <w:rFonts w:ascii="Times New Roman" w:hAnsi="Times New Roman" w:cs="Times New Roman"/>
          <w:sz w:val="24"/>
          <w:szCs w:val="24"/>
        </w:rPr>
        <w:t>tor barang makanan dan peningkatannya termasuk tinggi misalnya PT Unilever Indonesia, dimana pada sektor manufaktur indek</w:t>
      </w:r>
      <w:r w:rsidR="00F708E9">
        <w:rPr>
          <w:rFonts w:ascii="Times New Roman" w:hAnsi="Times New Roman" w:cs="Times New Roman"/>
          <w:sz w:val="24"/>
          <w:szCs w:val="24"/>
        </w:rPr>
        <w:t>snya tertinggi dan secara subsek</w:t>
      </w:r>
      <w:r w:rsidRPr="00891145">
        <w:rPr>
          <w:rFonts w:ascii="Times New Roman" w:hAnsi="Times New Roman" w:cs="Times New Roman"/>
          <w:sz w:val="24"/>
          <w:szCs w:val="24"/>
        </w:rPr>
        <w:t>tor juga memberikan indeks tertinggi.</w:t>
      </w:r>
    </w:p>
    <w:p w:rsidR="00891145" w:rsidRDefault="00891145" w:rsidP="00891145">
      <w:pPr>
        <w:spacing w:line="480" w:lineRule="auto"/>
        <w:jc w:val="both"/>
      </w:pPr>
    </w:p>
    <w:p w:rsidR="00891145" w:rsidRPr="00891145" w:rsidRDefault="00891145" w:rsidP="00891145">
      <w:pPr>
        <w:spacing w:line="480" w:lineRule="auto"/>
        <w:jc w:val="both"/>
        <w:rPr>
          <w:b/>
        </w:rPr>
      </w:pPr>
      <w:r w:rsidRPr="00891145">
        <w:rPr>
          <w:b/>
        </w:rPr>
        <w:t>5.2. Saran</w:t>
      </w:r>
    </w:p>
    <w:p w:rsidR="00891145" w:rsidRDefault="00891145" w:rsidP="00891145">
      <w:pPr>
        <w:spacing w:line="480" w:lineRule="auto"/>
        <w:jc w:val="both"/>
      </w:pPr>
      <w:r>
        <w:t>Hasil dari kajian singkat data harian selama kurun waktu penelitian terdapat beberapa kekurangan. Oleh karena itu bagi peneliti selanjutnya perlu dilakukan beberapa hal:</w:t>
      </w:r>
    </w:p>
    <w:p w:rsidR="00891145" w:rsidRPr="00891145" w:rsidRDefault="00891145" w:rsidP="00891145">
      <w:pPr>
        <w:pStyle w:val="ListParagraph"/>
        <w:numPr>
          <w:ilvl w:val="0"/>
          <w:numId w:val="16"/>
        </w:numPr>
        <w:spacing w:line="480" w:lineRule="auto"/>
        <w:ind w:left="360"/>
        <w:rPr>
          <w:rFonts w:ascii="Times New Roman" w:hAnsi="Times New Roman" w:cs="Times New Roman"/>
          <w:sz w:val="24"/>
          <w:szCs w:val="24"/>
        </w:rPr>
      </w:pPr>
      <w:r w:rsidRPr="00891145">
        <w:rPr>
          <w:rFonts w:ascii="Times New Roman" w:hAnsi="Times New Roman" w:cs="Times New Roman"/>
          <w:sz w:val="24"/>
          <w:szCs w:val="24"/>
        </w:rPr>
        <w:t xml:space="preserve">Fokus pada sektor IMK yang benar-benar terbantu dengan kebijakan baru tariff </w:t>
      </w:r>
      <w:r w:rsidR="00867176">
        <w:rPr>
          <w:rFonts w:ascii="Times New Roman" w:hAnsi="Times New Roman" w:cs="Times New Roman"/>
          <w:sz w:val="24"/>
          <w:szCs w:val="24"/>
        </w:rPr>
        <w:t>bea</w:t>
      </w:r>
      <w:r w:rsidRPr="00891145">
        <w:rPr>
          <w:rFonts w:ascii="Times New Roman" w:hAnsi="Times New Roman" w:cs="Times New Roman"/>
          <w:sz w:val="24"/>
          <w:szCs w:val="24"/>
        </w:rPr>
        <w:t xml:space="preserve"> masuk</w:t>
      </w:r>
    </w:p>
    <w:p w:rsidR="00891145" w:rsidRPr="00891145" w:rsidRDefault="00891145" w:rsidP="00BC5CB5">
      <w:pPr>
        <w:pStyle w:val="ListParagraph"/>
        <w:numPr>
          <w:ilvl w:val="0"/>
          <w:numId w:val="16"/>
        </w:numPr>
        <w:spacing w:line="480" w:lineRule="auto"/>
        <w:ind w:left="360"/>
        <w:jc w:val="both"/>
        <w:rPr>
          <w:rFonts w:ascii="Times New Roman" w:hAnsi="Times New Roman" w:cs="Times New Roman"/>
          <w:sz w:val="24"/>
          <w:szCs w:val="24"/>
        </w:rPr>
      </w:pPr>
      <w:r w:rsidRPr="00891145">
        <w:rPr>
          <w:rFonts w:ascii="Times New Roman" w:hAnsi="Times New Roman" w:cs="Times New Roman"/>
          <w:sz w:val="24"/>
          <w:szCs w:val="24"/>
        </w:rPr>
        <w:t xml:space="preserve">Fokus pada volatilitas pergerakan harga saham </w:t>
      </w:r>
      <w:r w:rsidR="00BC5CB5">
        <w:rPr>
          <w:rFonts w:ascii="Times New Roman" w:hAnsi="Times New Roman" w:cs="Times New Roman"/>
          <w:sz w:val="24"/>
          <w:szCs w:val="24"/>
        </w:rPr>
        <w:t>akibat pandemic covid mulai dua bulan sebelum terjadinya sampai dengan dua</w:t>
      </w:r>
      <w:r w:rsidRPr="00891145">
        <w:rPr>
          <w:rFonts w:ascii="Times New Roman" w:hAnsi="Times New Roman" w:cs="Times New Roman"/>
          <w:sz w:val="24"/>
          <w:szCs w:val="24"/>
        </w:rPr>
        <w:t xml:space="preserve"> bulan sesudahnya</w:t>
      </w:r>
      <w:r w:rsidR="00BC5CB5">
        <w:rPr>
          <w:rFonts w:ascii="Times New Roman" w:hAnsi="Times New Roman" w:cs="Times New Roman"/>
          <w:sz w:val="24"/>
          <w:szCs w:val="24"/>
        </w:rPr>
        <w:t xml:space="preserve"> di Indonesia</w:t>
      </w:r>
      <w:r w:rsidRPr="00891145">
        <w:rPr>
          <w:rFonts w:ascii="Times New Roman" w:hAnsi="Times New Roman" w:cs="Times New Roman"/>
          <w:sz w:val="24"/>
          <w:szCs w:val="24"/>
        </w:rPr>
        <w:t>, terutama untuk per</w:t>
      </w:r>
      <w:r w:rsidR="00BC5CB5">
        <w:rPr>
          <w:rFonts w:ascii="Times New Roman" w:hAnsi="Times New Roman" w:cs="Times New Roman"/>
          <w:sz w:val="24"/>
          <w:szCs w:val="24"/>
        </w:rPr>
        <w:t>usahaan yang industri barang konsumsi, industri dasar &amp; kimia</w:t>
      </w:r>
      <w:bookmarkStart w:id="0" w:name="_GoBack"/>
      <w:bookmarkEnd w:id="0"/>
      <w:r w:rsidRPr="00891145">
        <w:rPr>
          <w:rFonts w:ascii="Times New Roman" w:hAnsi="Times New Roman" w:cs="Times New Roman"/>
          <w:sz w:val="24"/>
          <w:szCs w:val="24"/>
        </w:rPr>
        <w:t xml:space="preserve">.   </w:t>
      </w:r>
    </w:p>
    <w:p w:rsidR="005E57E2" w:rsidRPr="005E57E2" w:rsidRDefault="005E57E2" w:rsidP="00A83A8E">
      <w:pPr>
        <w:rPr>
          <w:b/>
        </w:rPr>
      </w:pPr>
    </w:p>
    <w:p w:rsidR="00A83A8E" w:rsidRDefault="00A83A8E" w:rsidP="00607781">
      <w:pPr>
        <w:jc w:val="center"/>
        <w:rPr>
          <w:b/>
        </w:rPr>
      </w:pPr>
      <w:r w:rsidRPr="00472269">
        <w:rPr>
          <w:b/>
        </w:rPr>
        <w:lastRenderedPageBreak/>
        <w:t>DAFTAR PUSTAKA</w:t>
      </w:r>
    </w:p>
    <w:p w:rsidR="00607781" w:rsidRPr="00472269" w:rsidRDefault="00607781" w:rsidP="00607781">
      <w:pPr>
        <w:jc w:val="center"/>
        <w:rPr>
          <w:b/>
        </w:rPr>
      </w:pPr>
    </w:p>
    <w:p w:rsidR="00A83A8E" w:rsidRDefault="00A83A8E" w:rsidP="00A83A8E">
      <w:pPr>
        <w:widowControl w:val="0"/>
        <w:autoSpaceDE w:val="0"/>
        <w:autoSpaceDN w:val="0"/>
        <w:adjustRightInd w:val="0"/>
        <w:ind w:left="480" w:hanging="480"/>
        <w:jc w:val="both"/>
        <w:rPr>
          <w:noProof/>
        </w:rPr>
      </w:pPr>
      <w:r>
        <w:fldChar w:fldCharType="begin" w:fldLock="1"/>
      </w:r>
      <w:r>
        <w:instrText xml:space="preserve">ADDIN Mendeley Bibliography CSL_BIBLIOGRAPHY </w:instrText>
      </w:r>
      <w:r>
        <w:fldChar w:fldCharType="separate"/>
      </w:r>
      <w:r w:rsidRPr="00CE7475">
        <w:rPr>
          <w:noProof/>
        </w:rPr>
        <w:t xml:space="preserve">Ambarwati, S. D. A. (2008). Pengaruh Return Saham, Volume Perdagangan Saham Dan Varian Return Saham Terhadap Bid Ask Spread Saham Pada Perusahaan Manufaktur Yang Tergabung Dalam Indeks Lq 45 Periode Tahun 2003-2005. </w:t>
      </w:r>
      <w:r w:rsidRPr="00CE7475">
        <w:rPr>
          <w:i/>
          <w:iCs/>
          <w:noProof/>
        </w:rPr>
        <w:t>Jurnal Siasat Bisnis</w:t>
      </w:r>
      <w:r w:rsidRPr="00CE7475">
        <w:rPr>
          <w:noProof/>
        </w:rPr>
        <w:t xml:space="preserve">, </w:t>
      </w:r>
      <w:r w:rsidRPr="00CE7475">
        <w:rPr>
          <w:i/>
          <w:iCs/>
          <w:noProof/>
        </w:rPr>
        <w:t>12</w:t>
      </w:r>
      <w:r w:rsidRPr="00CE7475">
        <w:rPr>
          <w:noProof/>
        </w:rPr>
        <w:t>(1), 27–38. https://doi.org/10.20885/jsb.vol12.iss1.art3</w:t>
      </w:r>
    </w:p>
    <w:p w:rsidR="00C20460" w:rsidRPr="00E868C7" w:rsidRDefault="00C20460" w:rsidP="00E868C7">
      <w:pPr>
        <w:ind w:left="567" w:hanging="567"/>
        <w:contextualSpacing/>
        <w:jc w:val="both"/>
        <w:rPr>
          <w:lang w:val="id-ID"/>
        </w:rPr>
      </w:pPr>
      <w:r w:rsidRPr="00622686">
        <w:rPr>
          <w:lang w:val="en-GB"/>
        </w:rPr>
        <w:t>Baker, Malcolm</w:t>
      </w:r>
      <w:r w:rsidR="00E868C7">
        <w:rPr>
          <w:lang w:val="en-GB"/>
        </w:rPr>
        <w:t>, Jeffry Wrugler (2006</w:t>
      </w:r>
      <w:r w:rsidRPr="00622686">
        <w:rPr>
          <w:lang w:val="en-GB"/>
        </w:rPr>
        <w:t>)</w:t>
      </w:r>
      <w:r w:rsidR="00E868C7">
        <w:rPr>
          <w:lang w:val="en-GB"/>
        </w:rPr>
        <w:t>,</w:t>
      </w:r>
      <w:r w:rsidR="00E868C7">
        <w:rPr>
          <w:i/>
          <w:iCs/>
          <w:lang w:val="en-ID"/>
        </w:rPr>
        <w:t xml:space="preserve">”Investor </w:t>
      </w:r>
      <w:r w:rsidR="00E868C7" w:rsidRPr="00E868C7">
        <w:rPr>
          <w:i/>
          <w:iCs/>
          <w:lang w:val="en-ID"/>
        </w:rPr>
        <w:t>Sentiment and the cross section of Stock Returns,”</w:t>
      </w:r>
      <w:r w:rsidR="00E868C7" w:rsidRPr="00E868C7">
        <w:rPr>
          <w:lang w:val="en-ID"/>
        </w:rPr>
        <w:t xml:space="preserve"> The Journal of Finance, LXI No 4 1645-1680.</w:t>
      </w:r>
    </w:p>
    <w:p w:rsidR="00C20460" w:rsidRDefault="00C20460" w:rsidP="00C20460">
      <w:pPr>
        <w:ind w:left="567" w:hanging="567"/>
        <w:contextualSpacing/>
        <w:jc w:val="both"/>
        <w:rPr>
          <w:lang w:val="id-ID"/>
        </w:rPr>
      </w:pPr>
      <w:r>
        <w:rPr>
          <w:lang w:val="id-ID"/>
        </w:rPr>
        <w:t>Brown,G and M</w:t>
      </w:r>
      <w:r>
        <w:rPr>
          <w:lang w:val="en-GB"/>
        </w:rPr>
        <w:t>.</w:t>
      </w:r>
      <w:r w:rsidRPr="00FE690D">
        <w:rPr>
          <w:lang w:val="id-ID"/>
        </w:rPr>
        <w:t>Cliff (2004),”</w:t>
      </w:r>
      <w:r w:rsidRPr="00FE690D">
        <w:rPr>
          <w:i/>
          <w:lang w:val="id-ID"/>
        </w:rPr>
        <w:t>Investor sentiment and the near-term stock market</w:t>
      </w:r>
      <w:r w:rsidRPr="00FE690D">
        <w:rPr>
          <w:lang w:val="id-ID"/>
        </w:rPr>
        <w:t>”</w:t>
      </w:r>
      <w:r>
        <w:t xml:space="preserve">, </w:t>
      </w:r>
      <w:r w:rsidRPr="00FE690D">
        <w:rPr>
          <w:lang w:val="id-ID"/>
        </w:rPr>
        <w:t>Journal of Empirical</w:t>
      </w:r>
      <w:r w:rsidRPr="00B37941">
        <w:rPr>
          <w:lang w:val="id-ID"/>
        </w:rPr>
        <w:t xml:space="preserve"> Finance 11,1-27.</w:t>
      </w:r>
    </w:p>
    <w:p w:rsidR="004B7BCA" w:rsidRPr="00C20460" w:rsidRDefault="004B7BCA" w:rsidP="00C20460">
      <w:pPr>
        <w:ind w:left="567" w:hanging="567"/>
        <w:contextualSpacing/>
        <w:jc w:val="both"/>
        <w:rPr>
          <w:lang w:val="id-ID"/>
        </w:rPr>
      </w:pPr>
      <w:r w:rsidRPr="004B7BCA">
        <w:rPr>
          <w:lang w:val="id-ID"/>
        </w:rPr>
        <w:t>Bruce Jones &amp; David Steven, The New Politics of Strategic Resources: Energy and Food Security Challenges in the 21st Century (eds. David Steven, Emily O'Brien &amp; Bruce D. Jone: Brookings Institution Press, 2015), hal. 12.</w:t>
      </w:r>
    </w:p>
    <w:p w:rsidR="00A83A8E" w:rsidRPr="00CE7475" w:rsidRDefault="00A83A8E" w:rsidP="00A83A8E">
      <w:pPr>
        <w:widowControl w:val="0"/>
        <w:autoSpaceDE w:val="0"/>
        <w:autoSpaceDN w:val="0"/>
        <w:adjustRightInd w:val="0"/>
        <w:ind w:left="480" w:hanging="480"/>
        <w:jc w:val="both"/>
        <w:rPr>
          <w:noProof/>
        </w:rPr>
      </w:pPr>
      <w:r w:rsidRPr="00CE7475">
        <w:rPr>
          <w:noProof/>
        </w:rPr>
        <w:t xml:space="preserve">Glosten, L. R., &amp; Milgrom, P. R. (1985). Bid, ask and transaction prices in a specialist market with heterogeneously informed traders. </w:t>
      </w:r>
      <w:r w:rsidRPr="00CE7475">
        <w:rPr>
          <w:i/>
          <w:iCs/>
          <w:noProof/>
        </w:rPr>
        <w:t>Journal of Financial Economics</w:t>
      </w:r>
      <w:r w:rsidRPr="00CE7475">
        <w:rPr>
          <w:noProof/>
        </w:rPr>
        <w:t xml:space="preserve">, </w:t>
      </w:r>
      <w:r w:rsidRPr="00CE7475">
        <w:rPr>
          <w:i/>
          <w:iCs/>
          <w:noProof/>
        </w:rPr>
        <w:t>14</w:t>
      </w:r>
      <w:r w:rsidRPr="00CE7475">
        <w:rPr>
          <w:noProof/>
        </w:rPr>
        <w:t>(1), 71–100. https://doi.org/10.1016/0304-405X(85)90044-3</w:t>
      </w:r>
    </w:p>
    <w:p w:rsidR="00E868C7" w:rsidRDefault="00E868C7" w:rsidP="00E868C7">
      <w:pPr>
        <w:ind w:left="720" w:hanging="720"/>
        <w:jc w:val="both"/>
      </w:pPr>
      <w:r>
        <w:t>Gujarati, D.N., and Dawn C. Porter (2009),</w:t>
      </w:r>
      <w:r w:rsidRPr="00542296">
        <w:rPr>
          <w:i/>
        </w:rPr>
        <w:t>”Basic Econometrics”</w:t>
      </w:r>
      <w:r>
        <w:t>, 5</w:t>
      </w:r>
      <w:r w:rsidRPr="00542296">
        <w:rPr>
          <w:vertAlign w:val="superscript"/>
        </w:rPr>
        <w:t>th</w:t>
      </w:r>
      <w:r>
        <w:t xml:space="preserve"> edition, McGraw Hill, New York</w:t>
      </w:r>
    </w:p>
    <w:p w:rsidR="00A83A8E" w:rsidRDefault="00A83A8E" w:rsidP="00A83A8E">
      <w:pPr>
        <w:widowControl w:val="0"/>
        <w:autoSpaceDE w:val="0"/>
        <w:autoSpaceDN w:val="0"/>
        <w:adjustRightInd w:val="0"/>
        <w:ind w:left="480" w:hanging="480"/>
        <w:jc w:val="both"/>
        <w:rPr>
          <w:noProof/>
        </w:rPr>
      </w:pPr>
      <w:r w:rsidRPr="00CE7475">
        <w:rPr>
          <w:noProof/>
        </w:rPr>
        <w:t xml:space="preserve">Gunawan, B. (2005). Pengaruh Volume Perdagangan dan Return terhadap Bid-Ask Spread dengan Model Koreksi Kesalahan (Studi Empiris Saham Industri Farmasi di Bursa Efek Jakarta). </w:t>
      </w:r>
      <w:r w:rsidRPr="00CE7475">
        <w:rPr>
          <w:i/>
          <w:iCs/>
          <w:noProof/>
        </w:rPr>
        <w:t>Jurnal Akuntansi Dan Investasi</w:t>
      </w:r>
      <w:r w:rsidRPr="00CE7475">
        <w:rPr>
          <w:noProof/>
        </w:rPr>
        <w:t xml:space="preserve">, </w:t>
      </w:r>
      <w:r w:rsidRPr="00CE7475">
        <w:rPr>
          <w:i/>
          <w:iCs/>
          <w:noProof/>
        </w:rPr>
        <w:t>6</w:t>
      </w:r>
      <w:r w:rsidRPr="00CE7475">
        <w:rPr>
          <w:noProof/>
        </w:rPr>
        <w:t>(1), 147–167.</w:t>
      </w:r>
    </w:p>
    <w:p w:rsidR="00C20460" w:rsidRDefault="00C20460" w:rsidP="00C20460">
      <w:pPr>
        <w:ind w:left="567" w:hanging="567"/>
        <w:contextualSpacing/>
        <w:jc w:val="both"/>
        <w:rPr>
          <w:lang w:val="en-GB"/>
        </w:rPr>
      </w:pPr>
      <w:r w:rsidRPr="00B37941">
        <w:rPr>
          <w:lang w:val="id-ID"/>
        </w:rPr>
        <w:t>Harjito,</w:t>
      </w:r>
      <w:r>
        <w:t xml:space="preserve"> </w:t>
      </w:r>
      <w:r>
        <w:rPr>
          <w:lang w:val="id-ID"/>
        </w:rPr>
        <w:t>D Agus (2009),”</w:t>
      </w:r>
      <w:r w:rsidRPr="00B37941">
        <w:rPr>
          <w:i/>
          <w:lang w:val="id-ID"/>
        </w:rPr>
        <w:t>Keuangan Perilaku Menganalisis Keputusan Investor</w:t>
      </w:r>
      <w:r w:rsidRPr="00B37941">
        <w:rPr>
          <w:lang w:val="id-ID"/>
        </w:rPr>
        <w:t>”</w:t>
      </w:r>
      <w:r>
        <w:t xml:space="preserve">, </w:t>
      </w:r>
      <w:r w:rsidRPr="00B37941">
        <w:rPr>
          <w:lang w:val="id-ID"/>
        </w:rPr>
        <w:t>Penerbit Ekonisia  UII Yogyakarta</w:t>
      </w:r>
      <w:r>
        <w:rPr>
          <w:lang w:val="en-GB"/>
        </w:rPr>
        <w:t>.</w:t>
      </w:r>
    </w:p>
    <w:p w:rsidR="004B7BCA" w:rsidRPr="00C20460" w:rsidRDefault="00AE6FE3" w:rsidP="00C20460">
      <w:pPr>
        <w:ind w:left="567" w:hanging="567"/>
        <w:contextualSpacing/>
        <w:jc w:val="both"/>
        <w:rPr>
          <w:lang w:val="en-GB"/>
        </w:rPr>
      </w:pPr>
      <w:r w:rsidRPr="00AE6FE3">
        <w:rPr>
          <w:lang w:val="en-GB"/>
        </w:rPr>
        <w:t>Honigsbaum, Mark (2013). "Regulating the 1918–19 Pandemic: Flu, Stoicism and the Northcliffe Press"</w:t>
      </w:r>
      <w:r w:rsidRPr="00AE6FE3">
        <w:t xml:space="preserve"> </w:t>
      </w:r>
      <w:r>
        <w:rPr>
          <w:lang w:val="en-GB"/>
        </w:rPr>
        <w:t>Medical History. 57 (2): 165–185. doi</w:t>
      </w:r>
      <w:r w:rsidRPr="00AE6FE3">
        <w:rPr>
          <w:lang w:val="en-GB"/>
        </w:rPr>
        <w:t>: 10.1017 / mdh.2012.101</w:t>
      </w:r>
      <w:r>
        <w:rPr>
          <w:lang w:val="en-GB"/>
        </w:rPr>
        <w:t>;</w:t>
      </w:r>
      <w:r w:rsidRPr="00AE6FE3">
        <w:t xml:space="preserve"> </w:t>
      </w:r>
      <w:r w:rsidRPr="00AE6FE3">
        <w:rPr>
          <w:lang w:val="en-GB"/>
        </w:rPr>
        <w:t>ISSN 0025-7273</w:t>
      </w:r>
    </w:p>
    <w:p w:rsidR="00472269" w:rsidRPr="00CE7475" w:rsidRDefault="00472269" w:rsidP="00A83A8E">
      <w:pPr>
        <w:widowControl w:val="0"/>
        <w:autoSpaceDE w:val="0"/>
        <w:autoSpaceDN w:val="0"/>
        <w:adjustRightInd w:val="0"/>
        <w:ind w:left="480" w:hanging="480"/>
        <w:jc w:val="both"/>
        <w:rPr>
          <w:noProof/>
        </w:rPr>
      </w:pPr>
      <w:r>
        <w:rPr>
          <w:noProof/>
        </w:rPr>
        <w:t xml:space="preserve">Hull, John C. (2012). </w:t>
      </w:r>
      <w:r w:rsidRPr="00472269">
        <w:rPr>
          <w:i/>
          <w:noProof/>
        </w:rPr>
        <w:t>Options Futures, and other Derivatives</w:t>
      </w:r>
      <w:r>
        <w:rPr>
          <w:noProof/>
        </w:rPr>
        <w:t>, Eight Editions, Prentice Hall Pearson United States of America.</w:t>
      </w:r>
    </w:p>
    <w:p w:rsidR="00A83A8E" w:rsidRPr="00CE7475" w:rsidRDefault="00E868C7" w:rsidP="00A83A8E">
      <w:pPr>
        <w:widowControl w:val="0"/>
        <w:autoSpaceDE w:val="0"/>
        <w:autoSpaceDN w:val="0"/>
        <w:adjustRightInd w:val="0"/>
        <w:ind w:left="480" w:hanging="480"/>
        <w:jc w:val="both"/>
        <w:rPr>
          <w:noProof/>
        </w:rPr>
      </w:pPr>
      <w:r>
        <w:rPr>
          <w:noProof/>
        </w:rPr>
        <w:t>Hussainey, K</w:t>
      </w:r>
      <w:r w:rsidR="00A83A8E" w:rsidRPr="00CE7475">
        <w:rPr>
          <w:noProof/>
        </w:rPr>
        <w:t xml:space="preserve">. et. </w:t>
      </w:r>
      <w:r>
        <w:rPr>
          <w:noProof/>
        </w:rPr>
        <w:t xml:space="preserve">al. </w:t>
      </w:r>
      <w:r w:rsidR="00A83A8E" w:rsidRPr="00CE7475">
        <w:rPr>
          <w:noProof/>
        </w:rPr>
        <w:t xml:space="preserve">(2011). Dividend policy and share price volatility: UK evidence. </w:t>
      </w:r>
      <w:r w:rsidR="00A83A8E" w:rsidRPr="00CE7475">
        <w:rPr>
          <w:i/>
          <w:iCs/>
          <w:noProof/>
        </w:rPr>
        <w:t>Journal of Risk Finance</w:t>
      </w:r>
      <w:r w:rsidR="00A83A8E" w:rsidRPr="00CE7475">
        <w:rPr>
          <w:noProof/>
        </w:rPr>
        <w:t xml:space="preserve">, </w:t>
      </w:r>
      <w:r w:rsidR="00A83A8E" w:rsidRPr="00CE7475">
        <w:rPr>
          <w:i/>
          <w:iCs/>
          <w:noProof/>
        </w:rPr>
        <w:t>12</w:t>
      </w:r>
      <w:r w:rsidR="00A83A8E" w:rsidRPr="00CE7475">
        <w:rPr>
          <w:noProof/>
        </w:rPr>
        <w:t>(1), 57–68. https://doi.org/10.1108/15265941111100076</w:t>
      </w:r>
    </w:p>
    <w:p w:rsidR="00A83A8E" w:rsidRPr="00CE7475" w:rsidRDefault="00A83A8E" w:rsidP="00A83A8E">
      <w:pPr>
        <w:widowControl w:val="0"/>
        <w:autoSpaceDE w:val="0"/>
        <w:autoSpaceDN w:val="0"/>
        <w:adjustRightInd w:val="0"/>
        <w:ind w:left="480" w:hanging="480"/>
        <w:jc w:val="both"/>
        <w:rPr>
          <w:noProof/>
        </w:rPr>
      </w:pPr>
      <w:r w:rsidRPr="00CE7475">
        <w:rPr>
          <w:noProof/>
        </w:rPr>
        <w:t xml:space="preserve">Jogiyanto, H. M. (2015). </w:t>
      </w:r>
      <w:r w:rsidRPr="00CE7475">
        <w:rPr>
          <w:i/>
          <w:iCs/>
          <w:noProof/>
        </w:rPr>
        <w:t>Teori Portofolio dan Analisis Investasi</w:t>
      </w:r>
      <w:r w:rsidRPr="00CE7475">
        <w:rPr>
          <w:noProof/>
        </w:rPr>
        <w:t xml:space="preserve"> (10th ed). Yogyakarta: BPFE Yogyakarta.</w:t>
      </w:r>
    </w:p>
    <w:p w:rsidR="00A83A8E" w:rsidRDefault="00A83A8E" w:rsidP="00A83A8E">
      <w:pPr>
        <w:widowControl w:val="0"/>
        <w:autoSpaceDE w:val="0"/>
        <w:autoSpaceDN w:val="0"/>
        <w:adjustRightInd w:val="0"/>
        <w:ind w:left="480" w:hanging="480"/>
        <w:jc w:val="both"/>
        <w:rPr>
          <w:noProof/>
        </w:rPr>
      </w:pPr>
      <w:r w:rsidRPr="00CE7475">
        <w:rPr>
          <w:noProof/>
        </w:rPr>
        <w:t xml:space="preserve">Kim, O., &amp; Verrecchia, R. E. (1994). Market liquidity and volume around earnings announcements. </w:t>
      </w:r>
      <w:r w:rsidRPr="00CE7475">
        <w:rPr>
          <w:i/>
          <w:iCs/>
          <w:noProof/>
        </w:rPr>
        <w:t>Journal of Accounting and Economics</w:t>
      </w:r>
      <w:r w:rsidRPr="00CE7475">
        <w:rPr>
          <w:noProof/>
        </w:rPr>
        <w:t xml:space="preserve">, </w:t>
      </w:r>
      <w:r w:rsidRPr="00CE7475">
        <w:rPr>
          <w:i/>
          <w:iCs/>
          <w:noProof/>
        </w:rPr>
        <w:t>17</w:t>
      </w:r>
      <w:r w:rsidRPr="00CE7475">
        <w:rPr>
          <w:noProof/>
        </w:rPr>
        <w:t>(1–2), 41–67. https://doi.org/10.1016/0165-4101(94)90004-3</w:t>
      </w:r>
    </w:p>
    <w:p w:rsidR="00DD79E9" w:rsidRPr="00DD79E9" w:rsidRDefault="00DD79E9" w:rsidP="00DD79E9">
      <w:pPr>
        <w:ind w:left="567" w:hanging="567"/>
        <w:contextualSpacing/>
        <w:jc w:val="both"/>
        <w:rPr>
          <w:color w:val="231F20"/>
          <w:lang w:val="en-ID"/>
        </w:rPr>
      </w:pPr>
      <w:r w:rsidRPr="00DD79E9">
        <w:rPr>
          <w:color w:val="231F20"/>
          <w:lang w:val="en-ID"/>
        </w:rPr>
        <w:t>Manurung, Adler Haymans (2012),”</w:t>
      </w:r>
      <w:r w:rsidRPr="00DD79E9">
        <w:rPr>
          <w:i/>
          <w:color w:val="231F20"/>
          <w:lang w:val="en-ID"/>
        </w:rPr>
        <w:t>Konsep dan Empiris Teori Investasi</w:t>
      </w:r>
      <w:r w:rsidRPr="00DD79E9">
        <w:rPr>
          <w:color w:val="231F20"/>
          <w:lang w:val="en-ID"/>
        </w:rPr>
        <w:t>”, PT Adler Manurung Press.</w:t>
      </w:r>
    </w:p>
    <w:p w:rsidR="00A83A8E" w:rsidRPr="00CE7475" w:rsidRDefault="00A83A8E" w:rsidP="00A83A8E">
      <w:pPr>
        <w:widowControl w:val="0"/>
        <w:autoSpaceDE w:val="0"/>
        <w:autoSpaceDN w:val="0"/>
        <w:adjustRightInd w:val="0"/>
        <w:ind w:left="480" w:hanging="480"/>
        <w:jc w:val="both"/>
        <w:rPr>
          <w:noProof/>
        </w:rPr>
      </w:pPr>
      <w:r w:rsidRPr="00CE7475">
        <w:rPr>
          <w:noProof/>
        </w:rPr>
        <w:t xml:space="preserve">Mudalige, P., Kalev, P. S., &amp; Duong, H. N. (2016). Individual and institutional trading volume around firm-specific announcements. </w:t>
      </w:r>
      <w:r w:rsidRPr="00CE7475">
        <w:rPr>
          <w:i/>
          <w:iCs/>
          <w:noProof/>
        </w:rPr>
        <w:t>International Journal of Managerial Finance</w:t>
      </w:r>
      <w:r w:rsidRPr="00CE7475">
        <w:rPr>
          <w:noProof/>
        </w:rPr>
        <w:t xml:space="preserve">, </w:t>
      </w:r>
      <w:r w:rsidRPr="00CE7475">
        <w:rPr>
          <w:i/>
          <w:iCs/>
          <w:noProof/>
        </w:rPr>
        <w:t>12</w:t>
      </w:r>
      <w:r w:rsidRPr="00CE7475">
        <w:rPr>
          <w:noProof/>
        </w:rPr>
        <w:t>(4), 422–444. https://doi.org/10.1108/IJMF-01-2016-0007</w:t>
      </w:r>
    </w:p>
    <w:p w:rsidR="00E868C7" w:rsidRDefault="00E868C7" w:rsidP="00E868C7">
      <w:pPr>
        <w:ind w:left="720" w:hanging="720"/>
        <w:jc w:val="both"/>
      </w:pPr>
      <w:r>
        <w:t>Nachrowi DN., dan Usman H., (2006),”</w:t>
      </w:r>
      <w:r w:rsidRPr="006B15AA">
        <w:rPr>
          <w:i/>
        </w:rPr>
        <w:t>Pendekatan Populer dan Praktis EKONOMETRIKA Untuk Analisis Ekonomi dan Keuangan</w:t>
      </w:r>
      <w:r>
        <w:t>”, Lembaga Penerbit Fakultas Ekonomi Universitas Indonesia</w:t>
      </w:r>
    </w:p>
    <w:p w:rsidR="00A83A8E" w:rsidRPr="00CE7475" w:rsidRDefault="00A83A8E" w:rsidP="00A83A8E">
      <w:pPr>
        <w:widowControl w:val="0"/>
        <w:autoSpaceDE w:val="0"/>
        <w:autoSpaceDN w:val="0"/>
        <w:adjustRightInd w:val="0"/>
        <w:ind w:left="480" w:hanging="480"/>
        <w:jc w:val="both"/>
        <w:rPr>
          <w:noProof/>
        </w:rPr>
      </w:pPr>
      <w:r w:rsidRPr="00CE7475">
        <w:rPr>
          <w:noProof/>
        </w:rPr>
        <w:t xml:space="preserve">Nawangsari, F. Y., &amp; Iswajuni, I. (2019). The effects of auditor switching towards abnormal return in manufacturing company. </w:t>
      </w:r>
      <w:r w:rsidRPr="00CE7475">
        <w:rPr>
          <w:i/>
          <w:iCs/>
          <w:noProof/>
        </w:rPr>
        <w:t>Asian Journal of Accounting Research</w:t>
      </w:r>
      <w:r w:rsidRPr="00CE7475">
        <w:rPr>
          <w:noProof/>
        </w:rPr>
        <w:t xml:space="preserve">, </w:t>
      </w:r>
      <w:r w:rsidRPr="00CE7475">
        <w:rPr>
          <w:i/>
          <w:iCs/>
          <w:noProof/>
        </w:rPr>
        <w:t>4</w:t>
      </w:r>
      <w:r w:rsidRPr="00CE7475">
        <w:rPr>
          <w:noProof/>
        </w:rPr>
        <w:t>(1), 157–168. https://doi.org/10.1108/ajar-05-2019-0040</w:t>
      </w:r>
    </w:p>
    <w:p w:rsidR="00A83A8E" w:rsidRPr="00CE7475" w:rsidRDefault="00A83A8E" w:rsidP="00A83A8E">
      <w:pPr>
        <w:widowControl w:val="0"/>
        <w:autoSpaceDE w:val="0"/>
        <w:autoSpaceDN w:val="0"/>
        <w:adjustRightInd w:val="0"/>
        <w:ind w:left="480" w:hanging="480"/>
        <w:jc w:val="both"/>
        <w:rPr>
          <w:noProof/>
        </w:rPr>
      </w:pPr>
      <w:r w:rsidRPr="00CE7475">
        <w:rPr>
          <w:noProof/>
        </w:rPr>
        <w:t>Ramadan, I. Z. (2013). Divid</w:t>
      </w:r>
      <w:r w:rsidR="006950FB">
        <w:rPr>
          <w:noProof/>
        </w:rPr>
        <w:t>end Policy and Price Volatility</w:t>
      </w:r>
      <w:r w:rsidRPr="00CE7475">
        <w:rPr>
          <w:noProof/>
        </w:rPr>
        <w:t xml:space="preserve">. Empirical Evidence from Jordan. </w:t>
      </w:r>
      <w:r w:rsidRPr="00CE7475">
        <w:rPr>
          <w:i/>
          <w:iCs/>
          <w:noProof/>
        </w:rPr>
        <w:lastRenderedPageBreak/>
        <w:t>International Journal of Academic Research in Accounting, Finance and Management Sciences</w:t>
      </w:r>
      <w:r w:rsidRPr="00CE7475">
        <w:rPr>
          <w:noProof/>
        </w:rPr>
        <w:t xml:space="preserve">, </w:t>
      </w:r>
      <w:r w:rsidRPr="00CE7475">
        <w:rPr>
          <w:i/>
          <w:iCs/>
          <w:noProof/>
        </w:rPr>
        <w:t>3</w:t>
      </w:r>
      <w:r w:rsidRPr="00CE7475">
        <w:rPr>
          <w:noProof/>
        </w:rPr>
        <w:t>(2), 15–22.</w:t>
      </w:r>
    </w:p>
    <w:p w:rsidR="00DD79E9" w:rsidRPr="00DD79E9" w:rsidRDefault="00DD79E9" w:rsidP="00A83A8E">
      <w:pPr>
        <w:widowControl w:val="0"/>
        <w:autoSpaceDE w:val="0"/>
        <w:autoSpaceDN w:val="0"/>
        <w:adjustRightInd w:val="0"/>
        <w:ind w:left="480" w:hanging="480"/>
        <w:jc w:val="both"/>
        <w:rPr>
          <w:noProof/>
        </w:rPr>
      </w:pPr>
      <w:r w:rsidRPr="00DD79E9">
        <w:rPr>
          <w:color w:val="000000"/>
        </w:rPr>
        <w:t>Samsul, Mohamad (2006), “Pasar Modal &amp; Manajemen Portofolio”, Penerbit Erlangga, Jakarta, ISBN 979 781 685 0</w:t>
      </w:r>
    </w:p>
    <w:p w:rsidR="00A83A8E" w:rsidRPr="00CE7475" w:rsidRDefault="00A83A8E" w:rsidP="00A83A8E">
      <w:pPr>
        <w:widowControl w:val="0"/>
        <w:autoSpaceDE w:val="0"/>
        <w:autoSpaceDN w:val="0"/>
        <w:adjustRightInd w:val="0"/>
        <w:ind w:left="480" w:hanging="480"/>
        <w:jc w:val="both"/>
        <w:rPr>
          <w:noProof/>
        </w:rPr>
      </w:pPr>
      <w:r w:rsidRPr="00CE7475">
        <w:rPr>
          <w:noProof/>
        </w:rPr>
        <w:t xml:space="preserve">Sharif, S. (2015). Market reaction to the Karachi stock exchange floor imposition. </w:t>
      </w:r>
      <w:r w:rsidRPr="00CE7475">
        <w:rPr>
          <w:i/>
          <w:iCs/>
          <w:noProof/>
        </w:rPr>
        <w:t>South Asian Journal of Global Business Research</w:t>
      </w:r>
      <w:r w:rsidRPr="00CE7475">
        <w:rPr>
          <w:noProof/>
        </w:rPr>
        <w:t xml:space="preserve">, </w:t>
      </w:r>
      <w:r w:rsidRPr="00CE7475">
        <w:rPr>
          <w:i/>
          <w:iCs/>
          <w:noProof/>
        </w:rPr>
        <w:t>4</w:t>
      </w:r>
      <w:r w:rsidRPr="00CE7475">
        <w:rPr>
          <w:noProof/>
        </w:rPr>
        <w:t>(2), 275–291. https://doi.org/10.1108/sajgbr-06-2014-0039</w:t>
      </w:r>
    </w:p>
    <w:p w:rsidR="00A83A8E" w:rsidRDefault="00A83A8E" w:rsidP="00A83A8E">
      <w:pPr>
        <w:widowControl w:val="0"/>
        <w:autoSpaceDE w:val="0"/>
        <w:autoSpaceDN w:val="0"/>
        <w:adjustRightInd w:val="0"/>
        <w:ind w:left="480" w:hanging="480"/>
        <w:jc w:val="both"/>
        <w:rPr>
          <w:noProof/>
        </w:rPr>
      </w:pPr>
      <w:r w:rsidRPr="00CE7475">
        <w:rPr>
          <w:noProof/>
        </w:rPr>
        <w:t xml:space="preserve">Tandelilin, E. (2010). </w:t>
      </w:r>
      <w:r w:rsidRPr="00CE7475">
        <w:rPr>
          <w:i/>
          <w:iCs/>
          <w:noProof/>
        </w:rPr>
        <w:t>Portofolio dan Investasi</w:t>
      </w:r>
      <w:r w:rsidR="00A86981">
        <w:rPr>
          <w:i/>
          <w:iCs/>
          <w:noProof/>
        </w:rPr>
        <w:t xml:space="preserve">, </w:t>
      </w:r>
      <w:r w:rsidR="00A86981" w:rsidRPr="00472269">
        <w:rPr>
          <w:i/>
          <w:iCs/>
          <w:noProof/>
        </w:rPr>
        <w:t>Teori dan Aplikasi</w:t>
      </w:r>
      <w:r w:rsidR="00A86981">
        <w:rPr>
          <w:iCs/>
          <w:noProof/>
        </w:rPr>
        <w:t>,</w:t>
      </w:r>
      <w:r w:rsidR="00A86981">
        <w:rPr>
          <w:noProof/>
        </w:rPr>
        <w:t xml:space="preserve"> </w:t>
      </w:r>
      <w:r w:rsidRPr="00CE7475">
        <w:rPr>
          <w:noProof/>
        </w:rPr>
        <w:t>Edisi Pert</w:t>
      </w:r>
      <w:r w:rsidR="00A86981">
        <w:rPr>
          <w:noProof/>
        </w:rPr>
        <w:t>ama</w:t>
      </w:r>
      <w:r w:rsidRPr="00CE7475">
        <w:rPr>
          <w:noProof/>
        </w:rPr>
        <w:t>. Yogy</w:t>
      </w:r>
      <w:r w:rsidR="00A86981">
        <w:rPr>
          <w:noProof/>
        </w:rPr>
        <w:t>akarta: Penerbit Kanisius</w:t>
      </w:r>
      <w:r w:rsidRPr="00CE7475">
        <w:rPr>
          <w:noProof/>
        </w:rPr>
        <w:t>.</w:t>
      </w:r>
    </w:p>
    <w:p w:rsidR="004B7BCA" w:rsidRPr="0009268E" w:rsidRDefault="004B7BCA" w:rsidP="00A83A8E">
      <w:pPr>
        <w:widowControl w:val="0"/>
        <w:autoSpaceDE w:val="0"/>
        <w:autoSpaceDN w:val="0"/>
        <w:adjustRightInd w:val="0"/>
        <w:ind w:left="480" w:hanging="480"/>
        <w:jc w:val="both"/>
        <w:rPr>
          <w:noProof/>
        </w:rPr>
      </w:pPr>
      <w:r w:rsidRPr="0009268E">
        <w:rPr>
          <w:rStyle w:val="reference-text"/>
          <w:color w:val="202122"/>
          <w:bdr w:val="none" w:sz="0" w:space="0" w:color="auto" w:frame="1"/>
          <w:shd w:val="clear" w:color="auto" w:fill="FFFFFF"/>
        </w:rPr>
        <w:t>William M. Strahle &amp; EH Bonfield.</w:t>
      </w:r>
      <w:r w:rsidRPr="0009268E">
        <w:rPr>
          <w:color w:val="202122"/>
          <w:shd w:val="clear" w:color="auto" w:fill="FFFFFF"/>
        </w:rPr>
        <w:t> </w:t>
      </w:r>
      <w:hyperlink r:id="rId29" w:history="1">
        <w:r w:rsidRPr="0009268E">
          <w:rPr>
            <w:rStyle w:val="Hyperlink"/>
            <w:color w:val="6B4BA1"/>
            <w:bdr w:val="none" w:sz="0" w:space="0" w:color="auto" w:frame="1"/>
            <w:shd w:val="clear" w:color="auto" w:fill="FFFFFF"/>
          </w:rPr>
          <w:t>Understanding Consumer Panic: a Sociological Perspective</w:t>
        </w:r>
      </w:hyperlink>
      <w:r w:rsidRPr="0009268E">
        <w:rPr>
          <w:rStyle w:val="reference-text"/>
          <w:color w:val="202122"/>
          <w:bdr w:val="none" w:sz="0" w:space="0" w:color="auto" w:frame="1"/>
          <w:shd w:val="clear" w:color="auto" w:fill="FFFFFF"/>
        </w:rPr>
        <w:t>, </w:t>
      </w:r>
      <w:r w:rsidRPr="0009268E">
        <w:rPr>
          <w:rStyle w:val="reference-text"/>
          <w:i/>
          <w:iCs/>
          <w:color w:val="202122"/>
          <w:bdr w:val="none" w:sz="0" w:space="0" w:color="auto" w:frame="1"/>
          <w:shd w:val="clear" w:color="auto" w:fill="FFFFFF"/>
        </w:rPr>
        <w:t>Advances in Consumer Research</w:t>
      </w:r>
      <w:r w:rsidRPr="0009268E">
        <w:rPr>
          <w:rStyle w:val="reference-text"/>
          <w:color w:val="202122"/>
          <w:bdr w:val="none" w:sz="0" w:space="0" w:color="auto" w:frame="1"/>
          <w:shd w:val="clear" w:color="auto" w:fill="FFFFFF"/>
        </w:rPr>
        <w:t>, Volume 16, 1989, eds.</w:t>
      </w:r>
      <w:r w:rsidRPr="0009268E">
        <w:rPr>
          <w:color w:val="202122"/>
          <w:shd w:val="clear" w:color="auto" w:fill="FFFFFF"/>
        </w:rPr>
        <w:t> </w:t>
      </w:r>
      <w:r w:rsidRPr="0009268E">
        <w:rPr>
          <w:rStyle w:val="reference-text"/>
          <w:color w:val="202122"/>
          <w:bdr w:val="none" w:sz="0" w:space="0" w:color="auto" w:frame="1"/>
          <w:shd w:val="clear" w:color="auto" w:fill="FFFFFF"/>
        </w:rPr>
        <w:t>Thomas K. Srull, Provo, UT: Association for Consumer Research, pp.</w:t>
      </w:r>
      <w:r w:rsidRPr="0009268E">
        <w:rPr>
          <w:color w:val="202122"/>
          <w:shd w:val="clear" w:color="auto" w:fill="FFFFFF"/>
        </w:rPr>
        <w:t> </w:t>
      </w:r>
      <w:r w:rsidRPr="0009268E">
        <w:rPr>
          <w:rStyle w:val="reference-text"/>
          <w:color w:val="202122"/>
          <w:bdr w:val="none" w:sz="0" w:space="0" w:color="auto" w:frame="1"/>
          <w:shd w:val="clear" w:color="auto" w:fill="FFFFFF"/>
        </w:rPr>
        <w:t>567–573.</w:t>
      </w:r>
    </w:p>
    <w:p w:rsidR="00A83A8E" w:rsidRDefault="00A83A8E" w:rsidP="00A83A8E">
      <w:pPr>
        <w:widowControl w:val="0"/>
        <w:autoSpaceDE w:val="0"/>
        <w:autoSpaceDN w:val="0"/>
        <w:adjustRightInd w:val="0"/>
        <w:ind w:left="480" w:hanging="480"/>
        <w:jc w:val="both"/>
        <w:rPr>
          <w:noProof/>
        </w:rPr>
      </w:pPr>
      <w:r w:rsidRPr="00CE7475">
        <w:rPr>
          <w:noProof/>
        </w:rPr>
        <w:t xml:space="preserve">Yeung, W. H., &amp; Aman, A. (2016). Sensitivity of stock indices to global events: the perspective for Pakistani Canadians. </w:t>
      </w:r>
      <w:r w:rsidRPr="00CE7475">
        <w:rPr>
          <w:i/>
          <w:iCs/>
          <w:noProof/>
        </w:rPr>
        <w:t>Journal of Economic and Administrative Sciences</w:t>
      </w:r>
      <w:r w:rsidRPr="00CE7475">
        <w:rPr>
          <w:noProof/>
        </w:rPr>
        <w:t xml:space="preserve">, </w:t>
      </w:r>
      <w:r w:rsidRPr="00CE7475">
        <w:rPr>
          <w:i/>
          <w:iCs/>
          <w:noProof/>
        </w:rPr>
        <w:t>32</w:t>
      </w:r>
      <w:r w:rsidRPr="00CE7475">
        <w:rPr>
          <w:noProof/>
        </w:rPr>
        <w:t>(2), 102–119. https://doi.org/10.1108/jeas-05-2015-0014</w:t>
      </w:r>
    </w:p>
    <w:p w:rsidR="00AE6FE3" w:rsidRDefault="00AE6FE3" w:rsidP="00A83A8E">
      <w:pPr>
        <w:widowControl w:val="0"/>
        <w:autoSpaceDE w:val="0"/>
        <w:autoSpaceDN w:val="0"/>
        <w:adjustRightInd w:val="0"/>
        <w:ind w:left="480" w:hanging="480"/>
        <w:jc w:val="both"/>
        <w:rPr>
          <w:noProof/>
        </w:rPr>
      </w:pPr>
      <w:r w:rsidRPr="00AE6FE3">
        <w:rPr>
          <w:noProof/>
        </w:rPr>
        <w:t>Yuen, Kum Fai; Wang, Xueqin; Ma, Fei; Li, Kevin X. (2020-05-18). "The Psychological Causes of Panic Buying Following a Health Crisis"</w:t>
      </w:r>
      <w:r w:rsidRPr="00AE6FE3">
        <w:t xml:space="preserve"> </w:t>
      </w:r>
      <w:r w:rsidRPr="00AE6FE3">
        <w:rPr>
          <w:noProof/>
        </w:rPr>
        <w:t>International Journal of Environmental Research and Public Health . 17 (10): 3513.doi: 10.3390 / ijerph17103513</w:t>
      </w:r>
      <w:r>
        <w:rPr>
          <w:noProof/>
        </w:rPr>
        <w:t xml:space="preserve"> </w:t>
      </w:r>
    </w:p>
    <w:p w:rsidR="00472269" w:rsidRDefault="00472269" w:rsidP="00A83A8E">
      <w:pPr>
        <w:widowControl w:val="0"/>
        <w:autoSpaceDE w:val="0"/>
        <w:autoSpaceDN w:val="0"/>
        <w:adjustRightInd w:val="0"/>
        <w:ind w:left="480" w:hanging="480"/>
        <w:jc w:val="both"/>
        <w:rPr>
          <w:noProof/>
        </w:rPr>
      </w:pPr>
    </w:p>
    <w:p w:rsidR="00A83A8E" w:rsidRPr="0061093E" w:rsidRDefault="00A83A8E" w:rsidP="00472269">
      <w:pPr>
        <w:jc w:val="both"/>
        <w:rPr>
          <w:b/>
        </w:rPr>
      </w:pPr>
      <w:r>
        <w:fldChar w:fldCharType="end"/>
      </w:r>
      <w:r w:rsidR="000A3F4A" w:rsidRPr="0061093E">
        <w:rPr>
          <w:b/>
        </w:rPr>
        <w:t>Sumber lain:</w:t>
      </w:r>
    </w:p>
    <w:p w:rsidR="000A3F4A" w:rsidRDefault="00867176" w:rsidP="000A3F4A">
      <w:pPr>
        <w:ind w:left="540" w:hanging="540"/>
        <w:jc w:val="both"/>
      </w:pPr>
      <w:hyperlink r:id="rId30" w:history="1">
        <w:r w:rsidR="008C33E7" w:rsidRPr="004071B6">
          <w:rPr>
            <w:rStyle w:val="Hyperlink"/>
            <w:shd w:val="clear" w:color="auto" w:fill="FFFFFF"/>
          </w:rPr>
          <w:t>https://money.kompas.com/read/2020/01/24/203626426/</w:t>
        </w:r>
        <w:r>
          <w:rPr>
            <w:rStyle w:val="Hyperlink"/>
            <w:shd w:val="clear" w:color="auto" w:fill="FFFFFF"/>
          </w:rPr>
          <w:t>bea</w:t>
        </w:r>
        <w:r w:rsidR="008C33E7" w:rsidRPr="004071B6">
          <w:rPr>
            <w:rStyle w:val="Hyperlink"/>
            <w:shd w:val="clear" w:color="auto" w:fill="FFFFFF"/>
          </w:rPr>
          <w:t>-cukai-sebut-kebijakan-baru-</w:t>
        </w:r>
        <w:r>
          <w:rPr>
            <w:rStyle w:val="Hyperlink"/>
            <w:shd w:val="clear" w:color="auto" w:fill="FFFFFF"/>
          </w:rPr>
          <w:t>bea</w:t>
        </w:r>
        <w:r w:rsidR="008C33E7" w:rsidRPr="004071B6">
          <w:rPr>
            <w:rStyle w:val="Hyperlink"/>
            <w:shd w:val="clear" w:color="auto" w:fill="FFFFFF"/>
          </w:rPr>
          <w:t>-masuk-barang-e-commerce-untuk-lindungi-ukm</w:t>
        </w:r>
      </w:hyperlink>
      <w:r w:rsidR="000A3F4A" w:rsidRPr="00030B9D">
        <w:rPr>
          <w:shd w:val="clear" w:color="auto" w:fill="FFFFFF"/>
        </w:rPr>
        <w:t>.</w:t>
      </w:r>
    </w:p>
    <w:p w:rsidR="000A3F4A" w:rsidRDefault="00867176" w:rsidP="000A3F4A">
      <w:pPr>
        <w:ind w:left="540" w:hanging="540"/>
        <w:jc w:val="both"/>
      </w:pPr>
      <w:hyperlink r:id="rId31" w:history="1">
        <w:r w:rsidR="008C33E7" w:rsidRPr="004071B6">
          <w:rPr>
            <w:rStyle w:val="Hyperlink"/>
          </w:rPr>
          <w:t>https://www.indonesia.go.id/narasi/indonesia-dalam-angka/ekonomi/ketika-impor-bernilai-rp42-000-pun-terkena-jerat</w:t>
        </w:r>
      </w:hyperlink>
    </w:p>
    <w:p w:rsidR="008C33E7" w:rsidRDefault="008C33E7" w:rsidP="000A3F4A">
      <w:pPr>
        <w:ind w:left="540" w:hanging="540"/>
        <w:jc w:val="both"/>
      </w:pPr>
    </w:p>
    <w:p w:rsidR="008C33E7" w:rsidRDefault="008C33E7" w:rsidP="000A3F4A">
      <w:pPr>
        <w:ind w:left="540" w:hanging="540"/>
        <w:jc w:val="both"/>
      </w:pPr>
    </w:p>
    <w:p w:rsidR="008C33E7" w:rsidRDefault="008C33E7" w:rsidP="000A3F4A">
      <w:pPr>
        <w:ind w:left="540" w:hanging="540"/>
        <w:jc w:val="both"/>
      </w:pPr>
      <w:r>
        <w:br w:type="page"/>
      </w:r>
    </w:p>
    <w:p w:rsidR="008C33E7" w:rsidRPr="00157000" w:rsidRDefault="008C33E7" w:rsidP="00157000">
      <w:pPr>
        <w:ind w:left="540" w:hanging="540"/>
        <w:jc w:val="center"/>
        <w:rPr>
          <w:sz w:val="36"/>
          <w:szCs w:val="36"/>
        </w:rPr>
      </w:pPr>
      <w:r w:rsidRPr="00157000">
        <w:rPr>
          <w:sz w:val="36"/>
          <w:szCs w:val="36"/>
        </w:rPr>
        <w:lastRenderedPageBreak/>
        <w:t>LAMPIRAN</w:t>
      </w:r>
    </w:p>
    <w:sectPr w:rsidR="008C33E7" w:rsidRPr="00157000">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999" w:rsidRDefault="00752999" w:rsidP="0086378A">
      <w:r>
        <w:separator/>
      </w:r>
    </w:p>
  </w:endnote>
  <w:endnote w:type="continuationSeparator" w:id="0">
    <w:p w:rsidR="00752999" w:rsidRDefault="00752999" w:rsidP="0086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dvOT44ee9141.I">
    <w:altName w:val="Calibri"/>
    <w:panose1 w:val="00000000000000000000"/>
    <w:charset w:val="00"/>
    <w:family w:val="swiss"/>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AdvMacMthIt">
    <w:altName w:val="Calibri"/>
    <w:panose1 w:val="00000000000000000000"/>
    <w:charset w:val="00"/>
    <w:family w:val="swiss"/>
    <w:notTrueType/>
    <w:pitch w:val="default"/>
    <w:sig w:usb0="00000003" w:usb1="00000000" w:usb2="00000000" w:usb3="00000000" w:csb0="00000001" w:csb1="00000000"/>
  </w:font>
  <w:font w:name="AdvMacMthSyN">
    <w:altName w:val="Calibri"/>
    <w:panose1 w:val="00000000000000000000"/>
    <w:charset w:val="00"/>
    <w:family w:val="auto"/>
    <w:notTrueType/>
    <w:pitch w:val="default"/>
    <w:sig w:usb0="00000003" w:usb1="00000000" w:usb2="00000000" w:usb3="00000000" w:csb0="00000001" w:csb1="00000000"/>
  </w:font>
  <w:font w:name="AdvOT44ee9141.I+2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26257"/>
      <w:docPartObj>
        <w:docPartGallery w:val="Page Numbers (Bottom of Page)"/>
        <w:docPartUnique/>
      </w:docPartObj>
    </w:sdtPr>
    <w:sdtEndPr>
      <w:rPr>
        <w:noProof/>
      </w:rPr>
    </w:sdtEndPr>
    <w:sdtContent>
      <w:p w:rsidR="00B91762" w:rsidRDefault="00B91762">
        <w:pPr>
          <w:pStyle w:val="Footer"/>
          <w:jc w:val="center"/>
        </w:pPr>
        <w:r>
          <w:fldChar w:fldCharType="begin"/>
        </w:r>
        <w:r>
          <w:instrText xml:space="preserve"> PAGE   \* MERGEFORMAT </w:instrText>
        </w:r>
        <w:r>
          <w:fldChar w:fldCharType="separate"/>
        </w:r>
        <w:r w:rsidR="00BC5CB5">
          <w:rPr>
            <w:noProof/>
          </w:rPr>
          <w:t>40</w:t>
        </w:r>
        <w:r>
          <w:rPr>
            <w:noProof/>
          </w:rPr>
          <w:fldChar w:fldCharType="end"/>
        </w:r>
      </w:p>
    </w:sdtContent>
  </w:sdt>
  <w:p w:rsidR="00492480" w:rsidRDefault="00492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999" w:rsidRDefault="00752999" w:rsidP="0086378A">
      <w:r>
        <w:separator/>
      </w:r>
    </w:p>
  </w:footnote>
  <w:footnote w:type="continuationSeparator" w:id="0">
    <w:p w:rsidR="00752999" w:rsidRDefault="00752999" w:rsidP="0086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7710"/>
    <w:multiLevelType w:val="hybridMultilevel"/>
    <w:tmpl w:val="19423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42C6F"/>
    <w:multiLevelType w:val="hybridMultilevel"/>
    <w:tmpl w:val="995AA48A"/>
    <w:lvl w:ilvl="0" w:tplc="0409000F">
      <w:start w:val="1"/>
      <w:numFmt w:val="decimal"/>
      <w:lvlText w:val="%1."/>
      <w:lvlJc w:val="left"/>
      <w:pPr>
        <w:ind w:left="922" w:hanging="360"/>
      </w:p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2">
    <w:nsid w:val="16783D81"/>
    <w:multiLevelType w:val="hybridMultilevel"/>
    <w:tmpl w:val="909C4C02"/>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7009AF"/>
    <w:multiLevelType w:val="multilevel"/>
    <w:tmpl w:val="633A40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8F4B17"/>
    <w:multiLevelType w:val="multilevel"/>
    <w:tmpl w:val="DA544D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B947D79"/>
    <w:multiLevelType w:val="hybridMultilevel"/>
    <w:tmpl w:val="DFD0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C1DF5"/>
    <w:multiLevelType w:val="multilevel"/>
    <w:tmpl w:val="76947D10"/>
    <w:lvl w:ilvl="0">
      <w:start w:val="3"/>
      <w:numFmt w:val="upperRoman"/>
      <w:lvlText w:val="%1."/>
      <w:lvlJc w:val="left"/>
      <w:pPr>
        <w:ind w:left="0" w:firstLine="0"/>
      </w:pPr>
      <w:rPr>
        <w:rFonts w:hint="default"/>
      </w:rPr>
    </w:lvl>
    <w:lvl w:ilvl="1">
      <w:start w:val="1"/>
      <w:numFmt w:val="upperLetter"/>
      <w:lvlText w:val="%2."/>
      <w:lvlJc w:val="left"/>
      <w:pPr>
        <w:ind w:left="0" w:firstLine="0"/>
      </w:pPr>
      <w:rPr>
        <w:rFonts w:hint="default"/>
        <w:b w:val="0"/>
      </w:rPr>
    </w:lvl>
    <w:lvl w:ilvl="2">
      <w:start w:val="1"/>
      <w:numFmt w:val="decimal"/>
      <w:lvlText w:val="%3)"/>
      <w:lvlJc w:val="left"/>
      <w:pPr>
        <w:ind w:left="0" w:firstLine="0"/>
      </w:pPr>
      <w:rPr>
        <w:rFonts w:hint="default"/>
        <w:i/>
      </w:rPr>
    </w:lvl>
    <w:lvl w:ilvl="3">
      <w:start w:val="1"/>
      <w:numFmt w:val="lowerLetter"/>
      <w:lvlText w:val="%4)"/>
      <w:lvlJc w:val="left"/>
      <w:pPr>
        <w:ind w:left="1152" w:hanging="720"/>
      </w:pPr>
      <w:rPr>
        <w:rFonts w:hint="default"/>
      </w:rPr>
    </w:lvl>
    <w:lvl w:ilvl="4">
      <w:start w:val="1"/>
      <w:numFmt w:val="decimal"/>
      <w:lvlText w:val="(%5)"/>
      <w:lvlJc w:val="left"/>
      <w:pPr>
        <w:ind w:left="1872" w:hanging="720"/>
      </w:pPr>
      <w:rPr>
        <w:rFonts w:hint="default"/>
      </w:rPr>
    </w:lvl>
    <w:lvl w:ilvl="5">
      <w:start w:val="1"/>
      <w:numFmt w:val="lowerLetter"/>
      <w:lvlText w:val="%6)"/>
      <w:lvlJc w:val="left"/>
      <w:pPr>
        <w:ind w:left="2592" w:hanging="720"/>
      </w:pPr>
      <w:rPr>
        <w:rFonts w:hint="default"/>
      </w:rPr>
    </w:lvl>
    <w:lvl w:ilvl="6">
      <w:start w:val="1"/>
      <w:numFmt w:val="lowerRoman"/>
      <w:lvlText w:val="(%7)"/>
      <w:lvlJc w:val="left"/>
      <w:pPr>
        <w:ind w:left="3312" w:hanging="720"/>
      </w:pPr>
      <w:rPr>
        <w:rFonts w:hint="default"/>
      </w:rPr>
    </w:lvl>
    <w:lvl w:ilvl="7">
      <w:start w:val="1"/>
      <w:numFmt w:val="lowerLetter"/>
      <w:lvlText w:val="(%8)"/>
      <w:lvlJc w:val="left"/>
      <w:pPr>
        <w:ind w:left="4032" w:hanging="720"/>
      </w:pPr>
      <w:rPr>
        <w:rFonts w:hint="default"/>
      </w:rPr>
    </w:lvl>
    <w:lvl w:ilvl="8">
      <w:start w:val="1"/>
      <w:numFmt w:val="lowerRoman"/>
      <w:lvlText w:val="(%9)"/>
      <w:lvlJc w:val="left"/>
      <w:pPr>
        <w:ind w:left="4752" w:hanging="720"/>
      </w:pPr>
      <w:rPr>
        <w:rFonts w:hint="default"/>
      </w:rPr>
    </w:lvl>
  </w:abstractNum>
  <w:abstractNum w:abstractNumId="7">
    <w:nsid w:val="3958232D"/>
    <w:multiLevelType w:val="hybridMultilevel"/>
    <w:tmpl w:val="D9C4F800"/>
    <w:lvl w:ilvl="0" w:tplc="D3C26112">
      <w:start w:val="1"/>
      <w:numFmt w:val="decimal"/>
      <w:lvlText w:val="%1."/>
      <w:lvlJc w:val="left"/>
      <w:pPr>
        <w:tabs>
          <w:tab w:val="num" w:pos="720"/>
        </w:tabs>
        <w:ind w:left="720" w:hanging="360"/>
      </w:pPr>
      <w:rPr>
        <w:rFonts w:ascii="Times New Roman" w:eastAsiaTheme="minorHAnsi" w:hAnsi="Times New Roman" w:cs="Times New Roman"/>
      </w:rPr>
    </w:lvl>
    <w:lvl w:ilvl="1" w:tplc="B7EA33B6" w:tentative="1">
      <w:start w:val="1"/>
      <w:numFmt w:val="bullet"/>
      <w:lvlText w:val=""/>
      <w:lvlJc w:val="left"/>
      <w:pPr>
        <w:tabs>
          <w:tab w:val="num" w:pos="1440"/>
        </w:tabs>
        <w:ind w:left="1440" w:hanging="360"/>
      </w:pPr>
      <w:rPr>
        <w:rFonts w:ascii="Symbol" w:hAnsi="Symbol" w:hint="default"/>
      </w:rPr>
    </w:lvl>
    <w:lvl w:ilvl="2" w:tplc="1EC0EEEE" w:tentative="1">
      <w:start w:val="1"/>
      <w:numFmt w:val="bullet"/>
      <w:lvlText w:val=""/>
      <w:lvlJc w:val="left"/>
      <w:pPr>
        <w:tabs>
          <w:tab w:val="num" w:pos="2160"/>
        </w:tabs>
        <w:ind w:left="2160" w:hanging="360"/>
      </w:pPr>
      <w:rPr>
        <w:rFonts w:ascii="Symbol" w:hAnsi="Symbol" w:hint="default"/>
      </w:rPr>
    </w:lvl>
    <w:lvl w:ilvl="3" w:tplc="E92AA2EC" w:tentative="1">
      <w:start w:val="1"/>
      <w:numFmt w:val="bullet"/>
      <w:lvlText w:val=""/>
      <w:lvlJc w:val="left"/>
      <w:pPr>
        <w:tabs>
          <w:tab w:val="num" w:pos="2880"/>
        </w:tabs>
        <w:ind w:left="2880" w:hanging="360"/>
      </w:pPr>
      <w:rPr>
        <w:rFonts w:ascii="Symbol" w:hAnsi="Symbol" w:hint="default"/>
      </w:rPr>
    </w:lvl>
    <w:lvl w:ilvl="4" w:tplc="CE680EEC" w:tentative="1">
      <w:start w:val="1"/>
      <w:numFmt w:val="bullet"/>
      <w:lvlText w:val=""/>
      <w:lvlJc w:val="left"/>
      <w:pPr>
        <w:tabs>
          <w:tab w:val="num" w:pos="3600"/>
        </w:tabs>
        <w:ind w:left="3600" w:hanging="360"/>
      </w:pPr>
      <w:rPr>
        <w:rFonts w:ascii="Symbol" w:hAnsi="Symbol" w:hint="default"/>
      </w:rPr>
    </w:lvl>
    <w:lvl w:ilvl="5" w:tplc="ED7A1DA4" w:tentative="1">
      <w:start w:val="1"/>
      <w:numFmt w:val="bullet"/>
      <w:lvlText w:val=""/>
      <w:lvlJc w:val="left"/>
      <w:pPr>
        <w:tabs>
          <w:tab w:val="num" w:pos="4320"/>
        </w:tabs>
        <w:ind w:left="4320" w:hanging="360"/>
      </w:pPr>
      <w:rPr>
        <w:rFonts w:ascii="Symbol" w:hAnsi="Symbol" w:hint="default"/>
      </w:rPr>
    </w:lvl>
    <w:lvl w:ilvl="6" w:tplc="735C3236" w:tentative="1">
      <w:start w:val="1"/>
      <w:numFmt w:val="bullet"/>
      <w:lvlText w:val=""/>
      <w:lvlJc w:val="left"/>
      <w:pPr>
        <w:tabs>
          <w:tab w:val="num" w:pos="5040"/>
        </w:tabs>
        <w:ind w:left="5040" w:hanging="360"/>
      </w:pPr>
      <w:rPr>
        <w:rFonts w:ascii="Symbol" w:hAnsi="Symbol" w:hint="default"/>
      </w:rPr>
    </w:lvl>
    <w:lvl w:ilvl="7" w:tplc="92B6FA24" w:tentative="1">
      <w:start w:val="1"/>
      <w:numFmt w:val="bullet"/>
      <w:lvlText w:val=""/>
      <w:lvlJc w:val="left"/>
      <w:pPr>
        <w:tabs>
          <w:tab w:val="num" w:pos="5760"/>
        </w:tabs>
        <w:ind w:left="5760" w:hanging="360"/>
      </w:pPr>
      <w:rPr>
        <w:rFonts w:ascii="Symbol" w:hAnsi="Symbol" w:hint="default"/>
      </w:rPr>
    </w:lvl>
    <w:lvl w:ilvl="8" w:tplc="DBBE98D0" w:tentative="1">
      <w:start w:val="1"/>
      <w:numFmt w:val="bullet"/>
      <w:lvlText w:val=""/>
      <w:lvlJc w:val="left"/>
      <w:pPr>
        <w:tabs>
          <w:tab w:val="num" w:pos="6480"/>
        </w:tabs>
        <w:ind w:left="6480" w:hanging="360"/>
      </w:pPr>
      <w:rPr>
        <w:rFonts w:ascii="Symbol" w:hAnsi="Symbol" w:hint="default"/>
      </w:rPr>
    </w:lvl>
  </w:abstractNum>
  <w:abstractNum w:abstractNumId="8">
    <w:nsid w:val="3CB649D9"/>
    <w:multiLevelType w:val="hybridMultilevel"/>
    <w:tmpl w:val="D9C4F800"/>
    <w:lvl w:ilvl="0" w:tplc="D3C26112">
      <w:start w:val="1"/>
      <w:numFmt w:val="decimal"/>
      <w:lvlText w:val="%1."/>
      <w:lvlJc w:val="left"/>
      <w:pPr>
        <w:tabs>
          <w:tab w:val="num" w:pos="720"/>
        </w:tabs>
        <w:ind w:left="720" w:hanging="360"/>
      </w:pPr>
      <w:rPr>
        <w:rFonts w:ascii="Times New Roman" w:eastAsiaTheme="minorHAnsi" w:hAnsi="Times New Roman" w:cs="Times New Roman"/>
      </w:rPr>
    </w:lvl>
    <w:lvl w:ilvl="1" w:tplc="B7EA33B6" w:tentative="1">
      <w:start w:val="1"/>
      <w:numFmt w:val="bullet"/>
      <w:lvlText w:val=""/>
      <w:lvlJc w:val="left"/>
      <w:pPr>
        <w:tabs>
          <w:tab w:val="num" w:pos="1440"/>
        </w:tabs>
        <w:ind w:left="1440" w:hanging="360"/>
      </w:pPr>
      <w:rPr>
        <w:rFonts w:ascii="Symbol" w:hAnsi="Symbol" w:hint="default"/>
      </w:rPr>
    </w:lvl>
    <w:lvl w:ilvl="2" w:tplc="1EC0EEEE" w:tentative="1">
      <w:start w:val="1"/>
      <w:numFmt w:val="bullet"/>
      <w:lvlText w:val=""/>
      <w:lvlJc w:val="left"/>
      <w:pPr>
        <w:tabs>
          <w:tab w:val="num" w:pos="2160"/>
        </w:tabs>
        <w:ind w:left="2160" w:hanging="360"/>
      </w:pPr>
      <w:rPr>
        <w:rFonts w:ascii="Symbol" w:hAnsi="Symbol" w:hint="default"/>
      </w:rPr>
    </w:lvl>
    <w:lvl w:ilvl="3" w:tplc="E92AA2EC" w:tentative="1">
      <w:start w:val="1"/>
      <w:numFmt w:val="bullet"/>
      <w:lvlText w:val=""/>
      <w:lvlJc w:val="left"/>
      <w:pPr>
        <w:tabs>
          <w:tab w:val="num" w:pos="2880"/>
        </w:tabs>
        <w:ind w:left="2880" w:hanging="360"/>
      </w:pPr>
      <w:rPr>
        <w:rFonts w:ascii="Symbol" w:hAnsi="Symbol" w:hint="default"/>
      </w:rPr>
    </w:lvl>
    <w:lvl w:ilvl="4" w:tplc="CE680EEC" w:tentative="1">
      <w:start w:val="1"/>
      <w:numFmt w:val="bullet"/>
      <w:lvlText w:val=""/>
      <w:lvlJc w:val="left"/>
      <w:pPr>
        <w:tabs>
          <w:tab w:val="num" w:pos="3600"/>
        </w:tabs>
        <w:ind w:left="3600" w:hanging="360"/>
      </w:pPr>
      <w:rPr>
        <w:rFonts w:ascii="Symbol" w:hAnsi="Symbol" w:hint="default"/>
      </w:rPr>
    </w:lvl>
    <w:lvl w:ilvl="5" w:tplc="ED7A1DA4" w:tentative="1">
      <w:start w:val="1"/>
      <w:numFmt w:val="bullet"/>
      <w:lvlText w:val=""/>
      <w:lvlJc w:val="left"/>
      <w:pPr>
        <w:tabs>
          <w:tab w:val="num" w:pos="4320"/>
        </w:tabs>
        <w:ind w:left="4320" w:hanging="360"/>
      </w:pPr>
      <w:rPr>
        <w:rFonts w:ascii="Symbol" w:hAnsi="Symbol" w:hint="default"/>
      </w:rPr>
    </w:lvl>
    <w:lvl w:ilvl="6" w:tplc="735C3236" w:tentative="1">
      <w:start w:val="1"/>
      <w:numFmt w:val="bullet"/>
      <w:lvlText w:val=""/>
      <w:lvlJc w:val="left"/>
      <w:pPr>
        <w:tabs>
          <w:tab w:val="num" w:pos="5040"/>
        </w:tabs>
        <w:ind w:left="5040" w:hanging="360"/>
      </w:pPr>
      <w:rPr>
        <w:rFonts w:ascii="Symbol" w:hAnsi="Symbol" w:hint="default"/>
      </w:rPr>
    </w:lvl>
    <w:lvl w:ilvl="7" w:tplc="92B6FA24" w:tentative="1">
      <w:start w:val="1"/>
      <w:numFmt w:val="bullet"/>
      <w:lvlText w:val=""/>
      <w:lvlJc w:val="left"/>
      <w:pPr>
        <w:tabs>
          <w:tab w:val="num" w:pos="5760"/>
        </w:tabs>
        <w:ind w:left="5760" w:hanging="360"/>
      </w:pPr>
      <w:rPr>
        <w:rFonts w:ascii="Symbol" w:hAnsi="Symbol" w:hint="default"/>
      </w:rPr>
    </w:lvl>
    <w:lvl w:ilvl="8" w:tplc="DBBE98D0" w:tentative="1">
      <w:start w:val="1"/>
      <w:numFmt w:val="bullet"/>
      <w:lvlText w:val=""/>
      <w:lvlJc w:val="left"/>
      <w:pPr>
        <w:tabs>
          <w:tab w:val="num" w:pos="6480"/>
        </w:tabs>
        <w:ind w:left="6480" w:hanging="360"/>
      </w:pPr>
      <w:rPr>
        <w:rFonts w:ascii="Symbol" w:hAnsi="Symbol" w:hint="default"/>
      </w:rPr>
    </w:lvl>
  </w:abstractNum>
  <w:abstractNum w:abstractNumId="9">
    <w:nsid w:val="40B46E69"/>
    <w:multiLevelType w:val="hybridMultilevel"/>
    <w:tmpl w:val="19DE9F58"/>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EA3AEA"/>
    <w:multiLevelType w:val="multilevel"/>
    <w:tmpl w:val="C7766C4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nsid w:val="4BE13724"/>
    <w:multiLevelType w:val="hybridMultilevel"/>
    <w:tmpl w:val="22D0D9D6"/>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E4F7EFD"/>
    <w:multiLevelType w:val="multilevel"/>
    <w:tmpl w:val="64CA0D6E"/>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rPr>
    </w:lvl>
    <w:lvl w:ilvl="2">
      <w:start w:val="1"/>
      <w:numFmt w:val="decimal"/>
      <w:lvlText w:val="%3)"/>
      <w:lvlJc w:val="left"/>
      <w:pPr>
        <w:ind w:left="0" w:firstLine="0"/>
      </w:pPr>
      <w:rPr>
        <w:rFonts w:hint="default"/>
        <w:i/>
      </w:rPr>
    </w:lvl>
    <w:lvl w:ilvl="3">
      <w:start w:val="1"/>
      <w:numFmt w:val="lowerLetter"/>
      <w:lvlText w:val="%4)"/>
      <w:lvlJc w:val="left"/>
      <w:pPr>
        <w:ind w:left="1152" w:hanging="720"/>
      </w:pPr>
      <w:rPr>
        <w:rFonts w:hint="default"/>
      </w:rPr>
    </w:lvl>
    <w:lvl w:ilvl="4">
      <w:start w:val="1"/>
      <w:numFmt w:val="decimal"/>
      <w:lvlText w:val="(%5)"/>
      <w:lvlJc w:val="left"/>
      <w:pPr>
        <w:ind w:left="1872" w:hanging="720"/>
      </w:pPr>
      <w:rPr>
        <w:rFonts w:hint="default"/>
      </w:rPr>
    </w:lvl>
    <w:lvl w:ilvl="5">
      <w:start w:val="1"/>
      <w:numFmt w:val="lowerLetter"/>
      <w:lvlText w:val="%6)"/>
      <w:lvlJc w:val="left"/>
      <w:pPr>
        <w:ind w:left="2592" w:hanging="720"/>
      </w:pPr>
      <w:rPr>
        <w:rFonts w:hint="default"/>
      </w:rPr>
    </w:lvl>
    <w:lvl w:ilvl="6">
      <w:start w:val="1"/>
      <w:numFmt w:val="lowerRoman"/>
      <w:lvlText w:val="(%7)"/>
      <w:lvlJc w:val="left"/>
      <w:pPr>
        <w:ind w:left="3312" w:hanging="720"/>
      </w:pPr>
      <w:rPr>
        <w:rFonts w:hint="default"/>
      </w:rPr>
    </w:lvl>
    <w:lvl w:ilvl="7">
      <w:start w:val="1"/>
      <w:numFmt w:val="lowerLetter"/>
      <w:lvlText w:val="(%8)"/>
      <w:lvlJc w:val="left"/>
      <w:pPr>
        <w:ind w:left="4032" w:hanging="720"/>
      </w:pPr>
      <w:rPr>
        <w:rFonts w:hint="default"/>
      </w:rPr>
    </w:lvl>
    <w:lvl w:ilvl="8">
      <w:start w:val="1"/>
      <w:numFmt w:val="lowerRoman"/>
      <w:lvlText w:val="(%9)"/>
      <w:lvlJc w:val="left"/>
      <w:pPr>
        <w:ind w:left="4752" w:hanging="720"/>
      </w:pPr>
      <w:rPr>
        <w:rFonts w:hint="default"/>
      </w:rPr>
    </w:lvl>
  </w:abstractNum>
  <w:abstractNum w:abstractNumId="13">
    <w:nsid w:val="65F00478"/>
    <w:multiLevelType w:val="multilevel"/>
    <w:tmpl w:val="350C86C8"/>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5F95B19"/>
    <w:multiLevelType w:val="multilevel"/>
    <w:tmpl w:val="1C042384"/>
    <w:lvl w:ilvl="0">
      <w:start w:val="2"/>
      <w:numFmt w:val="upperRoman"/>
      <w:lvlText w:val="%1."/>
      <w:lvlJc w:val="left"/>
      <w:pPr>
        <w:ind w:left="0" w:firstLine="0"/>
      </w:pPr>
      <w:rPr>
        <w:rFonts w:hint="default"/>
      </w:rPr>
    </w:lvl>
    <w:lvl w:ilvl="1">
      <w:start w:val="1"/>
      <w:numFmt w:val="upperLetter"/>
      <w:lvlText w:val="%2."/>
      <w:lvlJc w:val="left"/>
      <w:pPr>
        <w:ind w:left="0" w:firstLine="0"/>
      </w:pPr>
      <w:rPr>
        <w:rFonts w:hint="default"/>
        <w:b w:val="0"/>
      </w:rPr>
    </w:lvl>
    <w:lvl w:ilvl="2">
      <w:start w:val="1"/>
      <w:numFmt w:val="decimal"/>
      <w:lvlText w:val="%3)"/>
      <w:lvlJc w:val="left"/>
      <w:pPr>
        <w:ind w:left="0" w:firstLine="0"/>
      </w:pPr>
      <w:rPr>
        <w:rFonts w:hint="default"/>
        <w:i/>
      </w:rPr>
    </w:lvl>
    <w:lvl w:ilvl="3">
      <w:start w:val="1"/>
      <w:numFmt w:val="lowerLetter"/>
      <w:lvlText w:val="%4)"/>
      <w:lvlJc w:val="left"/>
      <w:pPr>
        <w:ind w:left="1152" w:hanging="720"/>
      </w:pPr>
      <w:rPr>
        <w:rFonts w:hint="default"/>
      </w:rPr>
    </w:lvl>
    <w:lvl w:ilvl="4">
      <w:start w:val="1"/>
      <w:numFmt w:val="decimal"/>
      <w:lvlText w:val="(%5)"/>
      <w:lvlJc w:val="left"/>
      <w:pPr>
        <w:ind w:left="1872" w:hanging="720"/>
      </w:pPr>
      <w:rPr>
        <w:rFonts w:hint="default"/>
      </w:rPr>
    </w:lvl>
    <w:lvl w:ilvl="5">
      <w:start w:val="1"/>
      <w:numFmt w:val="lowerLetter"/>
      <w:lvlText w:val="%6)"/>
      <w:lvlJc w:val="left"/>
      <w:pPr>
        <w:ind w:left="2592" w:hanging="720"/>
      </w:pPr>
      <w:rPr>
        <w:rFonts w:hint="default"/>
      </w:rPr>
    </w:lvl>
    <w:lvl w:ilvl="6">
      <w:start w:val="1"/>
      <w:numFmt w:val="lowerRoman"/>
      <w:lvlText w:val="(%7)"/>
      <w:lvlJc w:val="left"/>
      <w:pPr>
        <w:ind w:left="3312" w:hanging="720"/>
      </w:pPr>
      <w:rPr>
        <w:rFonts w:hint="default"/>
      </w:rPr>
    </w:lvl>
    <w:lvl w:ilvl="7">
      <w:start w:val="1"/>
      <w:numFmt w:val="lowerLetter"/>
      <w:lvlText w:val="(%8)"/>
      <w:lvlJc w:val="left"/>
      <w:pPr>
        <w:ind w:left="4032" w:hanging="720"/>
      </w:pPr>
      <w:rPr>
        <w:rFonts w:hint="default"/>
      </w:rPr>
    </w:lvl>
    <w:lvl w:ilvl="8">
      <w:start w:val="1"/>
      <w:numFmt w:val="lowerRoman"/>
      <w:lvlText w:val="(%9)"/>
      <w:lvlJc w:val="left"/>
      <w:pPr>
        <w:ind w:left="4752" w:hanging="720"/>
      </w:pPr>
      <w:rPr>
        <w:rFonts w:hint="default"/>
      </w:rPr>
    </w:lvl>
  </w:abstractNum>
  <w:abstractNum w:abstractNumId="15">
    <w:nsid w:val="7CD5581F"/>
    <w:multiLevelType w:val="multilevel"/>
    <w:tmpl w:val="76529F40"/>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b w:val="0"/>
      </w:rPr>
    </w:lvl>
    <w:lvl w:ilvl="2">
      <w:start w:val="1"/>
      <w:numFmt w:val="decimal"/>
      <w:lvlText w:val="%3)"/>
      <w:lvlJc w:val="left"/>
      <w:pPr>
        <w:ind w:left="0" w:firstLine="0"/>
      </w:pPr>
      <w:rPr>
        <w:rFonts w:hint="default"/>
        <w:i/>
      </w:rPr>
    </w:lvl>
    <w:lvl w:ilvl="3">
      <w:start w:val="1"/>
      <w:numFmt w:val="lowerLetter"/>
      <w:lvlText w:val="%4)"/>
      <w:lvlJc w:val="left"/>
      <w:pPr>
        <w:ind w:left="1152" w:hanging="720"/>
      </w:pPr>
      <w:rPr>
        <w:rFonts w:hint="default"/>
      </w:rPr>
    </w:lvl>
    <w:lvl w:ilvl="4">
      <w:start w:val="1"/>
      <w:numFmt w:val="decimal"/>
      <w:lvlText w:val="(%5)"/>
      <w:lvlJc w:val="left"/>
      <w:pPr>
        <w:ind w:left="1872" w:hanging="720"/>
      </w:pPr>
      <w:rPr>
        <w:rFonts w:hint="default"/>
      </w:rPr>
    </w:lvl>
    <w:lvl w:ilvl="5">
      <w:start w:val="1"/>
      <w:numFmt w:val="lowerLetter"/>
      <w:lvlText w:val="%6)"/>
      <w:lvlJc w:val="left"/>
      <w:pPr>
        <w:ind w:left="2592" w:hanging="720"/>
      </w:pPr>
      <w:rPr>
        <w:rFonts w:hint="default"/>
      </w:rPr>
    </w:lvl>
    <w:lvl w:ilvl="6">
      <w:start w:val="1"/>
      <w:numFmt w:val="lowerRoman"/>
      <w:lvlText w:val="(%7)"/>
      <w:lvlJc w:val="left"/>
      <w:pPr>
        <w:ind w:left="3312" w:hanging="720"/>
      </w:pPr>
      <w:rPr>
        <w:rFonts w:hint="default"/>
      </w:rPr>
    </w:lvl>
    <w:lvl w:ilvl="7">
      <w:start w:val="1"/>
      <w:numFmt w:val="lowerLetter"/>
      <w:lvlText w:val="(%8)"/>
      <w:lvlJc w:val="left"/>
      <w:pPr>
        <w:ind w:left="4032" w:hanging="720"/>
      </w:pPr>
      <w:rPr>
        <w:rFonts w:hint="default"/>
      </w:rPr>
    </w:lvl>
    <w:lvl w:ilvl="8">
      <w:start w:val="1"/>
      <w:numFmt w:val="lowerRoman"/>
      <w:lvlText w:val="(%9)"/>
      <w:lvlJc w:val="left"/>
      <w:pPr>
        <w:ind w:left="4752" w:hanging="720"/>
      </w:pPr>
      <w:rPr>
        <w:rFonts w:hint="default"/>
      </w:rPr>
    </w:lvl>
  </w:abstractNum>
  <w:abstractNum w:abstractNumId="16">
    <w:nsid w:val="7DC53856"/>
    <w:multiLevelType w:val="hybridMultilevel"/>
    <w:tmpl w:val="E9560898"/>
    <w:lvl w:ilvl="0" w:tplc="0409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0"/>
  </w:num>
  <w:num w:numId="5">
    <w:abstractNumId w:val="5"/>
  </w:num>
  <w:num w:numId="6">
    <w:abstractNumId w:val="14"/>
  </w:num>
  <w:num w:numId="7">
    <w:abstractNumId w:val="15"/>
  </w:num>
  <w:num w:numId="8">
    <w:abstractNumId w:val="7"/>
  </w:num>
  <w:num w:numId="9">
    <w:abstractNumId w:val="8"/>
  </w:num>
  <w:num w:numId="10">
    <w:abstractNumId w:val="3"/>
  </w:num>
  <w:num w:numId="11">
    <w:abstractNumId w:val="13"/>
  </w:num>
  <w:num w:numId="12">
    <w:abstractNumId w:val="4"/>
  </w:num>
  <w:num w:numId="13">
    <w:abstractNumId w:val="16"/>
  </w:num>
  <w:num w:numId="14">
    <w:abstractNumId w:val="9"/>
  </w:num>
  <w:num w:numId="15">
    <w:abstractNumId w:val="6"/>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8E"/>
    <w:rsid w:val="00002434"/>
    <w:rsid w:val="00010263"/>
    <w:rsid w:val="00030B9D"/>
    <w:rsid w:val="00040708"/>
    <w:rsid w:val="00074EDE"/>
    <w:rsid w:val="0009268E"/>
    <w:rsid w:val="00096912"/>
    <w:rsid w:val="000A3F4A"/>
    <w:rsid w:val="000B6570"/>
    <w:rsid w:val="000D6ADE"/>
    <w:rsid w:val="00121366"/>
    <w:rsid w:val="001270EB"/>
    <w:rsid w:val="00157000"/>
    <w:rsid w:val="00167907"/>
    <w:rsid w:val="001802CF"/>
    <w:rsid w:val="001877DA"/>
    <w:rsid w:val="001B02E3"/>
    <w:rsid w:val="00216681"/>
    <w:rsid w:val="00222F7E"/>
    <w:rsid w:val="00235681"/>
    <w:rsid w:val="00247F1C"/>
    <w:rsid w:val="0028213E"/>
    <w:rsid w:val="002B1B3D"/>
    <w:rsid w:val="002F2C2B"/>
    <w:rsid w:val="00317AD1"/>
    <w:rsid w:val="003446C8"/>
    <w:rsid w:val="00353206"/>
    <w:rsid w:val="00363704"/>
    <w:rsid w:val="003B55F3"/>
    <w:rsid w:val="003C1652"/>
    <w:rsid w:val="003C4A55"/>
    <w:rsid w:val="003E08A0"/>
    <w:rsid w:val="0040763F"/>
    <w:rsid w:val="00407E43"/>
    <w:rsid w:val="00413241"/>
    <w:rsid w:val="00443531"/>
    <w:rsid w:val="00443C6E"/>
    <w:rsid w:val="00445D68"/>
    <w:rsid w:val="00461F2F"/>
    <w:rsid w:val="00472269"/>
    <w:rsid w:val="00472B12"/>
    <w:rsid w:val="004757D9"/>
    <w:rsid w:val="00476EC7"/>
    <w:rsid w:val="00491072"/>
    <w:rsid w:val="00492480"/>
    <w:rsid w:val="00494F59"/>
    <w:rsid w:val="004B7BCA"/>
    <w:rsid w:val="004C593E"/>
    <w:rsid w:val="00502088"/>
    <w:rsid w:val="00524FDF"/>
    <w:rsid w:val="00537A07"/>
    <w:rsid w:val="005527FA"/>
    <w:rsid w:val="0058028F"/>
    <w:rsid w:val="00597E24"/>
    <w:rsid w:val="005B00B9"/>
    <w:rsid w:val="005E57E2"/>
    <w:rsid w:val="00607781"/>
    <w:rsid w:val="0061093E"/>
    <w:rsid w:val="00637B4D"/>
    <w:rsid w:val="006614A1"/>
    <w:rsid w:val="00687AC8"/>
    <w:rsid w:val="00690690"/>
    <w:rsid w:val="006950FB"/>
    <w:rsid w:val="006D1897"/>
    <w:rsid w:val="007064A1"/>
    <w:rsid w:val="00707E5F"/>
    <w:rsid w:val="0073645C"/>
    <w:rsid w:val="00752999"/>
    <w:rsid w:val="007909C4"/>
    <w:rsid w:val="00803357"/>
    <w:rsid w:val="0086378A"/>
    <w:rsid w:val="00864092"/>
    <w:rsid w:val="00867176"/>
    <w:rsid w:val="00891145"/>
    <w:rsid w:val="008C28D1"/>
    <w:rsid w:val="008C33E7"/>
    <w:rsid w:val="008C37A9"/>
    <w:rsid w:val="008C4025"/>
    <w:rsid w:val="008F0973"/>
    <w:rsid w:val="0094616E"/>
    <w:rsid w:val="00953352"/>
    <w:rsid w:val="00990158"/>
    <w:rsid w:val="009E423A"/>
    <w:rsid w:val="00A20911"/>
    <w:rsid w:val="00A62BCE"/>
    <w:rsid w:val="00A83A8E"/>
    <w:rsid w:val="00A85404"/>
    <w:rsid w:val="00A86981"/>
    <w:rsid w:val="00AD5F6D"/>
    <w:rsid w:val="00AE6FE3"/>
    <w:rsid w:val="00AE74C6"/>
    <w:rsid w:val="00AF723B"/>
    <w:rsid w:val="00AF7AA7"/>
    <w:rsid w:val="00B12FFA"/>
    <w:rsid w:val="00B24293"/>
    <w:rsid w:val="00B91762"/>
    <w:rsid w:val="00BB13C7"/>
    <w:rsid w:val="00BC3E96"/>
    <w:rsid w:val="00BC5CB5"/>
    <w:rsid w:val="00C20460"/>
    <w:rsid w:val="00C31381"/>
    <w:rsid w:val="00C31F63"/>
    <w:rsid w:val="00C4032C"/>
    <w:rsid w:val="00C50120"/>
    <w:rsid w:val="00C54A09"/>
    <w:rsid w:val="00C7068F"/>
    <w:rsid w:val="00C71940"/>
    <w:rsid w:val="00C87A4F"/>
    <w:rsid w:val="00CE794E"/>
    <w:rsid w:val="00CF3C3C"/>
    <w:rsid w:val="00D227BD"/>
    <w:rsid w:val="00D63646"/>
    <w:rsid w:val="00D63C9A"/>
    <w:rsid w:val="00D64D06"/>
    <w:rsid w:val="00DD79E9"/>
    <w:rsid w:val="00DE0036"/>
    <w:rsid w:val="00DE4CE5"/>
    <w:rsid w:val="00DF476E"/>
    <w:rsid w:val="00E131E3"/>
    <w:rsid w:val="00E225C7"/>
    <w:rsid w:val="00E32BE7"/>
    <w:rsid w:val="00E341E2"/>
    <w:rsid w:val="00E371CB"/>
    <w:rsid w:val="00E43620"/>
    <w:rsid w:val="00E66A21"/>
    <w:rsid w:val="00E84C37"/>
    <w:rsid w:val="00E868C7"/>
    <w:rsid w:val="00EA00CF"/>
    <w:rsid w:val="00EA3C03"/>
    <w:rsid w:val="00ED4CF4"/>
    <w:rsid w:val="00EE3279"/>
    <w:rsid w:val="00F174FB"/>
    <w:rsid w:val="00F17EA2"/>
    <w:rsid w:val="00F20510"/>
    <w:rsid w:val="00F46C3B"/>
    <w:rsid w:val="00F6452D"/>
    <w:rsid w:val="00F708E9"/>
    <w:rsid w:val="00F77385"/>
    <w:rsid w:val="00F81C03"/>
    <w:rsid w:val="00F94BE6"/>
    <w:rsid w:val="00FA19CD"/>
    <w:rsid w:val="00FB1952"/>
    <w:rsid w:val="00FD35EB"/>
    <w:rsid w:val="00FF4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09A739F-F051-4C7F-BB70-D84E78EF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03"/>
    <w:pPr>
      <w:spacing w:after="0" w:line="240" w:lineRule="auto"/>
    </w:pPr>
    <w:rPr>
      <w:rFonts w:ascii="Times New Roman" w:eastAsia="Batang" w:hAnsi="Times New Roman" w:cs="Times New Roman"/>
      <w:sz w:val="24"/>
      <w:szCs w:val="24"/>
      <w:lang w:eastAsia="ko-KR"/>
    </w:rPr>
  </w:style>
  <w:style w:type="paragraph" w:styleId="Heading1">
    <w:name w:val="heading 1"/>
    <w:basedOn w:val="Normal"/>
    <w:next w:val="Normal"/>
    <w:link w:val="Heading1Char"/>
    <w:uiPriority w:val="9"/>
    <w:qFormat/>
    <w:rsid w:val="00A83A8E"/>
    <w:pPr>
      <w:keepNext/>
      <w:numPr>
        <w:numId w:val="1"/>
      </w:numPr>
      <w:spacing w:before="240" w:after="80"/>
      <w:jc w:val="center"/>
      <w:outlineLvl w:val="0"/>
    </w:pPr>
    <w:rPr>
      <w:rFonts w:eastAsia="Times New Roman"/>
      <w:smallCaps/>
      <w:kern w:val="28"/>
      <w:sz w:val="22"/>
      <w:szCs w:val="20"/>
      <w:lang w:eastAsia="en-US"/>
    </w:rPr>
  </w:style>
  <w:style w:type="paragraph" w:styleId="Heading2">
    <w:name w:val="heading 2"/>
    <w:basedOn w:val="Normal"/>
    <w:next w:val="Normal"/>
    <w:link w:val="Heading2Char"/>
    <w:uiPriority w:val="9"/>
    <w:semiHidden/>
    <w:unhideWhenUsed/>
    <w:qFormat/>
    <w:rsid w:val="00A83A8E"/>
    <w:pPr>
      <w:keepNext/>
      <w:numPr>
        <w:ilvl w:val="1"/>
        <w:numId w:val="1"/>
      </w:numPr>
      <w:spacing w:before="120" w:after="60"/>
      <w:outlineLvl w:val="1"/>
    </w:pPr>
    <w:rPr>
      <w:rFonts w:eastAsia="Times New Roman"/>
      <w:i/>
      <w:iCs/>
      <w:sz w:val="22"/>
      <w:szCs w:val="20"/>
      <w:lang w:eastAsia="en-US"/>
    </w:rPr>
  </w:style>
  <w:style w:type="paragraph" w:styleId="Heading3">
    <w:name w:val="heading 3"/>
    <w:basedOn w:val="Normal"/>
    <w:next w:val="Normal"/>
    <w:link w:val="Heading3Char"/>
    <w:uiPriority w:val="9"/>
    <w:semiHidden/>
    <w:unhideWhenUsed/>
    <w:qFormat/>
    <w:rsid w:val="00A83A8E"/>
    <w:pPr>
      <w:keepNext/>
      <w:numPr>
        <w:ilvl w:val="2"/>
        <w:numId w:val="1"/>
      </w:numPr>
      <w:outlineLvl w:val="2"/>
    </w:pPr>
    <w:rPr>
      <w:rFonts w:eastAsia="Times New Roman"/>
      <w:i/>
      <w:iCs/>
      <w:sz w:val="22"/>
      <w:szCs w:val="20"/>
      <w:lang w:eastAsia="en-US"/>
    </w:rPr>
  </w:style>
  <w:style w:type="paragraph" w:styleId="Heading4">
    <w:name w:val="heading 4"/>
    <w:basedOn w:val="Normal"/>
    <w:next w:val="Normal"/>
    <w:link w:val="Heading4Char"/>
    <w:uiPriority w:val="9"/>
    <w:semiHidden/>
    <w:unhideWhenUsed/>
    <w:qFormat/>
    <w:rsid w:val="00A83A8E"/>
    <w:pPr>
      <w:keepNext/>
      <w:numPr>
        <w:ilvl w:val="3"/>
        <w:numId w:val="1"/>
      </w:numPr>
      <w:spacing w:before="240" w:after="60"/>
      <w:outlineLvl w:val="3"/>
    </w:pPr>
    <w:rPr>
      <w:rFonts w:eastAsia="Times New Roman"/>
      <w:i/>
      <w:iCs/>
      <w:sz w:val="18"/>
      <w:szCs w:val="18"/>
      <w:lang w:eastAsia="en-US"/>
    </w:rPr>
  </w:style>
  <w:style w:type="paragraph" w:styleId="Heading5">
    <w:name w:val="heading 5"/>
    <w:basedOn w:val="Normal"/>
    <w:next w:val="Normal"/>
    <w:link w:val="Heading5Char"/>
    <w:uiPriority w:val="9"/>
    <w:semiHidden/>
    <w:unhideWhenUsed/>
    <w:qFormat/>
    <w:rsid w:val="00A83A8E"/>
    <w:pPr>
      <w:numPr>
        <w:ilvl w:val="4"/>
        <w:numId w:val="1"/>
      </w:numPr>
      <w:spacing w:before="240" w:after="60"/>
      <w:outlineLvl w:val="4"/>
    </w:pPr>
    <w:rPr>
      <w:rFonts w:eastAsia="Times New Roman"/>
      <w:sz w:val="18"/>
      <w:szCs w:val="18"/>
      <w:lang w:eastAsia="en-US"/>
    </w:rPr>
  </w:style>
  <w:style w:type="paragraph" w:styleId="Heading6">
    <w:name w:val="heading 6"/>
    <w:basedOn w:val="Normal"/>
    <w:next w:val="Normal"/>
    <w:link w:val="Heading6Char"/>
    <w:uiPriority w:val="9"/>
    <w:semiHidden/>
    <w:unhideWhenUsed/>
    <w:qFormat/>
    <w:rsid w:val="00A83A8E"/>
    <w:pPr>
      <w:numPr>
        <w:ilvl w:val="5"/>
        <w:numId w:val="1"/>
      </w:numPr>
      <w:spacing w:before="240" w:after="60"/>
      <w:outlineLvl w:val="5"/>
    </w:pPr>
    <w:rPr>
      <w:rFonts w:eastAsia="Times New Roman"/>
      <w:i/>
      <w:iCs/>
      <w:sz w:val="16"/>
      <w:szCs w:val="16"/>
      <w:lang w:eastAsia="en-US"/>
    </w:rPr>
  </w:style>
  <w:style w:type="paragraph" w:styleId="Heading7">
    <w:name w:val="heading 7"/>
    <w:basedOn w:val="Normal"/>
    <w:next w:val="Normal"/>
    <w:link w:val="Heading7Char"/>
    <w:uiPriority w:val="9"/>
    <w:semiHidden/>
    <w:unhideWhenUsed/>
    <w:qFormat/>
    <w:rsid w:val="00A83A8E"/>
    <w:pPr>
      <w:numPr>
        <w:ilvl w:val="6"/>
        <w:numId w:val="1"/>
      </w:numPr>
      <w:spacing w:before="240" w:after="60"/>
      <w:outlineLvl w:val="6"/>
    </w:pPr>
    <w:rPr>
      <w:rFonts w:eastAsia="Times New Roman"/>
      <w:sz w:val="16"/>
      <w:szCs w:val="16"/>
      <w:lang w:eastAsia="en-US"/>
    </w:rPr>
  </w:style>
  <w:style w:type="paragraph" w:styleId="Heading8">
    <w:name w:val="heading 8"/>
    <w:basedOn w:val="Normal"/>
    <w:next w:val="Normal"/>
    <w:link w:val="Heading8Char"/>
    <w:uiPriority w:val="9"/>
    <w:semiHidden/>
    <w:unhideWhenUsed/>
    <w:qFormat/>
    <w:rsid w:val="00A83A8E"/>
    <w:pPr>
      <w:numPr>
        <w:ilvl w:val="7"/>
        <w:numId w:val="1"/>
      </w:numPr>
      <w:spacing w:before="240" w:after="60"/>
      <w:outlineLvl w:val="7"/>
    </w:pPr>
    <w:rPr>
      <w:rFonts w:eastAsia="Times New Roman"/>
      <w:i/>
      <w:iCs/>
      <w:sz w:val="16"/>
      <w:szCs w:val="16"/>
      <w:lang w:eastAsia="en-US"/>
    </w:rPr>
  </w:style>
  <w:style w:type="paragraph" w:styleId="Heading9">
    <w:name w:val="heading 9"/>
    <w:basedOn w:val="Normal"/>
    <w:next w:val="Normal"/>
    <w:link w:val="Heading9Char"/>
    <w:uiPriority w:val="9"/>
    <w:semiHidden/>
    <w:unhideWhenUsed/>
    <w:qFormat/>
    <w:rsid w:val="00A83A8E"/>
    <w:pPr>
      <w:numPr>
        <w:ilvl w:val="8"/>
        <w:numId w:val="1"/>
      </w:numPr>
      <w:spacing w:before="240" w:after="60"/>
      <w:outlineLvl w:val="8"/>
    </w:pPr>
    <w:rPr>
      <w:rFonts w:eastAsia="Times New Roman"/>
      <w:sz w:val="16"/>
      <w:szCs w:val="1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83A8E"/>
    <w:rPr>
      <w:color w:val="0000FF"/>
      <w:u w:val="single"/>
    </w:rPr>
  </w:style>
  <w:style w:type="character" w:customStyle="1" w:styleId="Heading1Char">
    <w:name w:val="Heading 1 Char"/>
    <w:basedOn w:val="DefaultParagraphFont"/>
    <w:link w:val="Heading1"/>
    <w:uiPriority w:val="9"/>
    <w:rsid w:val="00A83A8E"/>
    <w:rPr>
      <w:rFonts w:ascii="Times New Roman" w:eastAsia="Times New Roman" w:hAnsi="Times New Roman" w:cs="Times New Roman"/>
      <w:smallCaps/>
      <w:kern w:val="28"/>
      <w:szCs w:val="20"/>
    </w:rPr>
  </w:style>
  <w:style w:type="character" w:customStyle="1" w:styleId="Heading2Char">
    <w:name w:val="Heading 2 Char"/>
    <w:basedOn w:val="DefaultParagraphFont"/>
    <w:link w:val="Heading2"/>
    <w:uiPriority w:val="9"/>
    <w:semiHidden/>
    <w:rsid w:val="00A83A8E"/>
    <w:rPr>
      <w:rFonts w:ascii="Times New Roman" w:eastAsia="Times New Roman" w:hAnsi="Times New Roman" w:cs="Times New Roman"/>
      <w:i/>
      <w:iCs/>
      <w:szCs w:val="20"/>
    </w:rPr>
  </w:style>
  <w:style w:type="character" w:customStyle="1" w:styleId="Heading3Char">
    <w:name w:val="Heading 3 Char"/>
    <w:basedOn w:val="DefaultParagraphFont"/>
    <w:link w:val="Heading3"/>
    <w:uiPriority w:val="9"/>
    <w:semiHidden/>
    <w:rsid w:val="00A83A8E"/>
    <w:rPr>
      <w:rFonts w:ascii="Times New Roman" w:eastAsia="Times New Roman" w:hAnsi="Times New Roman" w:cs="Times New Roman"/>
      <w:i/>
      <w:iCs/>
      <w:szCs w:val="20"/>
    </w:rPr>
  </w:style>
  <w:style w:type="character" w:customStyle="1" w:styleId="Heading4Char">
    <w:name w:val="Heading 4 Char"/>
    <w:basedOn w:val="DefaultParagraphFont"/>
    <w:link w:val="Heading4"/>
    <w:uiPriority w:val="9"/>
    <w:semiHidden/>
    <w:rsid w:val="00A83A8E"/>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uiPriority w:val="9"/>
    <w:semiHidden/>
    <w:rsid w:val="00A83A8E"/>
    <w:rPr>
      <w:rFonts w:ascii="Times New Roman" w:eastAsia="Times New Roman" w:hAnsi="Times New Roman" w:cs="Times New Roman"/>
      <w:sz w:val="18"/>
      <w:szCs w:val="18"/>
    </w:rPr>
  </w:style>
  <w:style w:type="character" w:customStyle="1" w:styleId="Heading6Char">
    <w:name w:val="Heading 6 Char"/>
    <w:basedOn w:val="DefaultParagraphFont"/>
    <w:link w:val="Heading6"/>
    <w:uiPriority w:val="9"/>
    <w:semiHidden/>
    <w:rsid w:val="00A83A8E"/>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uiPriority w:val="9"/>
    <w:semiHidden/>
    <w:rsid w:val="00A83A8E"/>
    <w:rPr>
      <w:rFonts w:ascii="Times New Roman" w:eastAsia="Times New Roman" w:hAnsi="Times New Roman" w:cs="Times New Roman"/>
      <w:sz w:val="16"/>
      <w:szCs w:val="16"/>
    </w:rPr>
  </w:style>
  <w:style w:type="character" w:customStyle="1" w:styleId="Heading8Char">
    <w:name w:val="Heading 8 Char"/>
    <w:basedOn w:val="DefaultParagraphFont"/>
    <w:link w:val="Heading8"/>
    <w:uiPriority w:val="9"/>
    <w:semiHidden/>
    <w:rsid w:val="00A83A8E"/>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uiPriority w:val="9"/>
    <w:semiHidden/>
    <w:rsid w:val="00A83A8E"/>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locked/>
    <w:rsid w:val="00A83A8E"/>
    <w:rPr>
      <w:rFonts w:ascii="Calibri" w:eastAsia="Calibri" w:hAnsi="Calibri" w:cs="Calibri"/>
    </w:rPr>
  </w:style>
  <w:style w:type="paragraph" w:styleId="ListParagraph">
    <w:name w:val="List Paragraph"/>
    <w:basedOn w:val="Normal"/>
    <w:link w:val="ListParagraphChar"/>
    <w:uiPriority w:val="34"/>
    <w:qFormat/>
    <w:rsid w:val="00A83A8E"/>
    <w:pPr>
      <w:spacing w:after="200" w:line="276" w:lineRule="auto"/>
      <w:ind w:left="720"/>
      <w:contextualSpacing/>
    </w:pPr>
    <w:rPr>
      <w:rFonts w:ascii="Calibri" w:eastAsia="Calibri" w:hAnsi="Calibri" w:cs="Calibri"/>
      <w:sz w:val="22"/>
      <w:szCs w:val="22"/>
      <w:lang w:eastAsia="en-US"/>
    </w:rPr>
  </w:style>
  <w:style w:type="table" w:styleId="TableGrid">
    <w:name w:val="Table Grid"/>
    <w:basedOn w:val="TableNormal"/>
    <w:uiPriority w:val="59"/>
    <w:rsid w:val="00A83A8E"/>
    <w:pPr>
      <w:spacing w:after="0" w:line="240" w:lineRule="auto"/>
    </w:pPr>
    <w:rPr>
      <w:rFonts w:ascii="Times New Roman" w:eastAsia="Times New Roman" w:hAnsi="Times New Roman" w:cs="Times New Roman"/>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5F6D"/>
    <w:rPr>
      <w:sz w:val="16"/>
      <w:szCs w:val="16"/>
    </w:rPr>
  </w:style>
  <w:style w:type="paragraph" w:styleId="CommentText">
    <w:name w:val="annotation text"/>
    <w:basedOn w:val="Normal"/>
    <w:link w:val="CommentTextChar"/>
    <w:uiPriority w:val="99"/>
    <w:semiHidden/>
    <w:unhideWhenUsed/>
    <w:rsid w:val="00AD5F6D"/>
    <w:rPr>
      <w:sz w:val="20"/>
      <w:szCs w:val="20"/>
    </w:rPr>
  </w:style>
  <w:style w:type="character" w:customStyle="1" w:styleId="CommentTextChar">
    <w:name w:val="Comment Text Char"/>
    <w:basedOn w:val="DefaultParagraphFont"/>
    <w:link w:val="CommentText"/>
    <w:uiPriority w:val="99"/>
    <w:semiHidden/>
    <w:rsid w:val="00AD5F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AD5F6D"/>
    <w:rPr>
      <w:b/>
      <w:bCs/>
    </w:rPr>
  </w:style>
  <w:style w:type="character" w:customStyle="1" w:styleId="CommentSubjectChar">
    <w:name w:val="Comment Subject Char"/>
    <w:basedOn w:val="CommentTextChar"/>
    <w:link w:val="CommentSubject"/>
    <w:uiPriority w:val="99"/>
    <w:semiHidden/>
    <w:rsid w:val="00AD5F6D"/>
    <w:rPr>
      <w:rFonts w:ascii="Times New Roman" w:eastAsia="Batang" w:hAnsi="Times New Roman" w:cs="Times New Roman"/>
      <w:b/>
      <w:bCs/>
      <w:sz w:val="20"/>
      <w:szCs w:val="20"/>
      <w:lang w:eastAsia="ko-KR"/>
    </w:rPr>
  </w:style>
  <w:style w:type="paragraph" w:styleId="BalloonText">
    <w:name w:val="Balloon Text"/>
    <w:basedOn w:val="Normal"/>
    <w:link w:val="BalloonTextChar"/>
    <w:uiPriority w:val="99"/>
    <w:semiHidden/>
    <w:unhideWhenUsed/>
    <w:rsid w:val="00AD5F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F6D"/>
    <w:rPr>
      <w:rFonts w:ascii="Segoe UI" w:eastAsia="Batang" w:hAnsi="Segoe UI" w:cs="Segoe UI"/>
      <w:sz w:val="18"/>
      <w:szCs w:val="18"/>
      <w:lang w:eastAsia="ko-KR"/>
    </w:rPr>
  </w:style>
  <w:style w:type="paragraph" w:styleId="NormalWeb">
    <w:name w:val="Normal (Web)"/>
    <w:basedOn w:val="Normal"/>
    <w:uiPriority w:val="99"/>
    <w:semiHidden/>
    <w:unhideWhenUsed/>
    <w:rsid w:val="00E868C7"/>
    <w:pPr>
      <w:spacing w:before="100" w:beforeAutospacing="1" w:after="100" w:afterAutospacing="1"/>
    </w:pPr>
    <w:rPr>
      <w:rFonts w:eastAsia="Times New Roman"/>
      <w:lang w:val="id-ID" w:eastAsia="id-ID"/>
    </w:rPr>
  </w:style>
  <w:style w:type="character" w:customStyle="1" w:styleId="reference-text">
    <w:name w:val="reference-text"/>
    <w:basedOn w:val="DefaultParagraphFont"/>
    <w:rsid w:val="004B7BCA"/>
  </w:style>
  <w:style w:type="character" w:styleId="HTMLCite">
    <w:name w:val="HTML Cite"/>
    <w:basedOn w:val="DefaultParagraphFont"/>
    <w:uiPriority w:val="99"/>
    <w:semiHidden/>
    <w:unhideWhenUsed/>
    <w:rsid w:val="004B7BCA"/>
    <w:rPr>
      <w:i/>
      <w:iCs/>
    </w:rPr>
  </w:style>
  <w:style w:type="character" w:customStyle="1" w:styleId="cs1-lock-free">
    <w:name w:val="cs1-lock-free"/>
    <w:basedOn w:val="DefaultParagraphFont"/>
    <w:rsid w:val="004B7BCA"/>
  </w:style>
  <w:style w:type="paragraph" w:styleId="Header">
    <w:name w:val="header"/>
    <w:basedOn w:val="Normal"/>
    <w:link w:val="HeaderChar"/>
    <w:uiPriority w:val="99"/>
    <w:unhideWhenUsed/>
    <w:rsid w:val="0086378A"/>
    <w:pPr>
      <w:tabs>
        <w:tab w:val="center" w:pos="4680"/>
        <w:tab w:val="right" w:pos="9360"/>
      </w:tabs>
    </w:pPr>
  </w:style>
  <w:style w:type="character" w:customStyle="1" w:styleId="HeaderChar">
    <w:name w:val="Header Char"/>
    <w:basedOn w:val="DefaultParagraphFont"/>
    <w:link w:val="Header"/>
    <w:uiPriority w:val="99"/>
    <w:rsid w:val="0086378A"/>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86378A"/>
    <w:pPr>
      <w:tabs>
        <w:tab w:val="center" w:pos="4680"/>
        <w:tab w:val="right" w:pos="9360"/>
      </w:tabs>
    </w:pPr>
  </w:style>
  <w:style w:type="character" w:customStyle="1" w:styleId="FooterChar">
    <w:name w:val="Footer Char"/>
    <w:basedOn w:val="DefaultParagraphFont"/>
    <w:link w:val="Footer"/>
    <w:uiPriority w:val="99"/>
    <w:rsid w:val="0086378A"/>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36599">
      <w:bodyDiv w:val="1"/>
      <w:marLeft w:val="0"/>
      <w:marRight w:val="0"/>
      <w:marTop w:val="0"/>
      <w:marBottom w:val="0"/>
      <w:divBdr>
        <w:top w:val="none" w:sz="0" w:space="0" w:color="auto"/>
        <w:left w:val="none" w:sz="0" w:space="0" w:color="auto"/>
        <w:bottom w:val="none" w:sz="0" w:space="0" w:color="auto"/>
        <w:right w:val="none" w:sz="0" w:space="0" w:color="auto"/>
      </w:divBdr>
    </w:div>
    <w:div w:id="558826625">
      <w:bodyDiv w:val="1"/>
      <w:marLeft w:val="0"/>
      <w:marRight w:val="0"/>
      <w:marTop w:val="0"/>
      <w:marBottom w:val="0"/>
      <w:divBdr>
        <w:top w:val="none" w:sz="0" w:space="0" w:color="auto"/>
        <w:left w:val="none" w:sz="0" w:space="0" w:color="auto"/>
        <w:bottom w:val="none" w:sz="0" w:space="0" w:color="auto"/>
        <w:right w:val="none" w:sz="0" w:space="0" w:color="auto"/>
      </w:divBdr>
    </w:div>
    <w:div w:id="18527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worklife/article/20200304-coronavirus-covid-19-update-why-people-are-stockpiling" TargetMode="External"/><Relationship Id="rId13" Type="http://schemas.microsoft.com/office/2007/relationships/diagramDrawing" Target="diagrams/drawing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hyperlink" Target="https://money.kompas.com/read/2020/01/24/203626426/bea-cukai-sebut-kebijakan-baru-bea-masuk-barang-e-commerce-untuk-lindungi-ukm" TargetMode="External"/><Relationship Id="rId12" Type="http://schemas.openxmlformats.org/officeDocument/2006/relationships/diagramColors" Target="diagrams/colors1.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yperlink" Target="https://translate.googleusercontent.com/translate_c?client=srp&amp;depth=1&amp;hl=id&amp;prev=search&amp;rurl=translate.google.com&amp;sl=id&amp;sp=nmt4&amp;tl=en&amp;u=https://www.acrwebsite.org/volumes/6964/volumes/v16/NA-16&amp;usg=ALkJrhiOd6ytUnnybI3-f66KUPQSidlg1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sei.co.id/" TargetMode="External"/><Relationship Id="rId23" Type="http://schemas.openxmlformats.org/officeDocument/2006/relationships/image" Target="media/image9.png"/><Relationship Id="rId28" Type="http://schemas.openxmlformats.org/officeDocument/2006/relationships/hyperlink" Target="https://www.bisnis.com/topic/34642/indeks-manufaktur" TargetMode="External"/><Relationship Id="rId10" Type="http://schemas.openxmlformats.org/officeDocument/2006/relationships/diagramLayout" Target="diagrams/layout1.xml"/><Relationship Id="rId19" Type="http://schemas.openxmlformats.org/officeDocument/2006/relationships/image" Target="media/image5.png"/><Relationship Id="rId31" Type="http://schemas.openxmlformats.org/officeDocument/2006/relationships/hyperlink" Target="https://www.indonesia.go.id/narasi/indonesia-dalam-angka/ekonomi/ketika-impor-bernilai-rp42-000-pun-terkena-jerat"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www.idx.co.id/"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hyperlink" Target="https://money.kompas.com/read/2020/01/24/203626426/bea-cukai-sebut-kebijakan-baru-bea-masuk-barang-e-commerce-untuk-lindungi-ukm"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3FD05A-2E01-48FF-B017-167BC4E1B204}"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id-ID"/>
        </a:p>
      </dgm:t>
    </dgm:pt>
    <dgm:pt modelId="{1EC30885-28EE-4C24-8B4F-C28410B1C3CB}">
      <dgm:prSet phldrT="[Text]" custT="1"/>
      <dgm:spPr/>
      <dgm:t>
        <a:bodyPr/>
        <a:lstStyle/>
        <a:p>
          <a:r>
            <a:rPr lang="en-US" sz="800">
              <a:solidFill>
                <a:sysClr val="windowText" lastClr="000000"/>
              </a:solidFill>
              <a:latin typeface="Arial Black" panose="020B0A04020102020204" pitchFamily="34" charset="0"/>
            </a:rPr>
            <a:t>Terdapat informasi perubahan bea masuk dan pandemi covid-19</a:t>
          </a:r>
          <a:endParaRPr lang="id-ID" sz="800">
            <a:solidFill>
              <a:sysClr val="windowText" lastClr="000000"/>
            </a:solidFill>
            <a:latin typeface="Arial Black" panose="020B0A04020102020204" pitchFamily="34" charset="0"/>
          </a:endParaRPr>
        </a:p>
      </dgm:t>
    </dgm:pt>
    <dgm:pt modelId="{7A2E07B7-7CF4-4D1C-B376-DCBE88EB95F3}" type="parTrans" cxnId="{9FDB547C-DBCE-49B4-8E23-E35E628282C0}">
      <dgm:prSet/>
      <dgm:spPr/>
      <dgm:t>
        <a:bodyPr/>
        <a:lstStyle/>
        <a:p>
          <a:endParaRPr lang="id-ID" sz="800">
            <a:solidFill>
              <a:sysClr val="windowText" lastClr="000000"/>
            </a:solidFill>
            <a:latin typeface="Arial Black" panose="020B0A04020102020204" pitchFamily="34" charset="0"/>
          </a:endParaRPr>
        </a:p>
      </dgm:t>
    </dgm:pt>
    <dgm:pt modelId="{76D2412C-B308-4CDD-A4D2-F6BFD51C134B}" type="sibTrans" cxnId="{9FDB547C-DBCE-49B4-8E23-E35E628282C0}">
      <dgm:prSet/>
      <dgm:spPr/>
      <dgm:t>
        <a:bodyPr/>
        <a:lstStyle/>
        <a:p>
          <a:endParaRPr lang="id-ID" sz="800">
            <a:solidFill>
              <a:sysClr val="windowText" lastClr="000000"/>
            </a:solidFill>
            <a:latin typeface="Arial Black" panose="020B0A04020102020204" pitchFamily="34" charset="0"/>
          </a:endParaRPr>
        </a:p>
      </dgm:t>
    </dgm:pt>
    <dgm:pt modelId="{FA8140E4-2438-4FC5-A4B7-989DEB68DB46}">
      <dgm:prSet phldrT="[Text]" custT="1"/>
      <dgm:spPr/>
      <dgm:t>
        <a:bodyPr/>
        <a:lstStyle/>
        <a:p>
          <a:r>
            <a:rPr lang="en-US" sz="800">
              <a:solidFill>
                <a:sysClr val="windowText" lastClr="000000"/>
              </a:solidFill>
              <a:latin typeface="Arial Black" panose="020B0A04020102020204" pitchFamily="34" charset="0"/>
            </a:rPr>
            <a:t>Volatilitas harga saham meningkat setelah ada kenaikan bea masuk, turun saat pandemi covid-19 </a:t>
          </a:r>
          <a:endParaRPr lang="id-ID" sz="800">
            <a:solidFill>
              <a:sysClr val="windowText" lastClr="000000"/>
            </a:solidFill>
            <a:latin typeface="Arial Black" panose="020B0A04020102020204" pitchFamily="34" charset="0"/>
          </a:endParaRPr>
        </a:p>
      </dgm:t>
    </dgm:pt>
    <dgm:pt modelId="{A58F5E31-DFFB-4E11-BAE6-157F87BFD37E}" type="parTrans" cxnId="{3BCF54DD-6C14-4B51-A383-A67BCFCCB396}">
      <dgm:prSet custT="1"/>
      <dgm:spPr/>
      <dgm:t>
        <a:bodyPr/>
        <a:lstStyle/>
        <a:p>
          <a:endParaRPr lang="id-ID" sz="800">
            <a:solidFill>
              <a:sysClr val="windowText" lastClr="000000"/>
            </a:solidFill>
            <a:latin typeface="Arial Black" panose="020B0A04020102020204" pitchFamily="34" charset="0"/>
          </a:endParaRPr>
        </a:p>
      </dgm:t>
    </dgm:pt>
    <dgm:pt modelId="{076E297C-AEB2-4919-BDA5-8638F47AD533}" type="sibTrans" cxnId="{3BCF54DD-6C14-4B51-A383-A67BCFCCB396}">
      <dgm:prSet/>
      <dgm:spPr/>
      <dgm:t>
        <a:bodyPr/>
        <a:lstStyle/>
        <a:p>
          <a:endParaRPr lang="id-ID" sz="800">
            <a:solidFill>
              <a:sysClr val="windowText" lastClr="000000"/>
            </a:solidFill>
            <a:latin typeface="Arial Black" panose="020B0A04020102020204" pitchFamily="34" charset="0"/>
          </a:endParaRPr>
        </a:p>
      </dgm:t>
    </dgm:pt>
    <dgm:pt modelId="{7A4C1EEC-AA47-4E04-AB78-7370C6A68775}">
      <dgm:prSet phldrT="[Text]" custT="1"/>
      <dgm:spPr/>
      <dgm:t>
        <a:bodyPr/>
        <a:lstStyle/>
        <a:p>
          <a:r>
            <a:rPr lang="en-US" sz="800">
              <a:solidFill>
                <a:sysClr val="windowText" lastClr="000000"/>
              </a:solidFill>
              <a:latin typeface="Arial Black" panose="020B0A04020102020204" pitchFamily="34" charset="0"/>
            </a:rPr>
            <a:t>Bid-Ask spread saham meningkat saat ada tambahan bea masuk baru dan turun ketika pandemi covid-19</a:t>
          </a:r>
          <a:endParaRPr lang="id-ID" sz="800">
            <a:solidFill>
              <a:sysClr val="windowText" lastClr="000000"/>
            </a:solidFill>
            <a:latin typeface="Arial Black" panose="020B0A04020102020204" pitchFamily="34" charset="0"/>
          </a:endParaRPr>
        </a:p>
      </dgm:t>
    </dgm:pt>
    <dgm:pt modelId="{298E3E63-BC73-4961-B765-9D19AF379CFF}" type="parTrans" cxnId="{2610CA1F-5ADD-4959-BAC6-7B6D0DDB295D}">
      <dgm:prSet custT="1"/>
      <dgm:spPr/>
      <dgm:t>
        <a:bodyPr/>
        <a:lstStyle/>
        <a:p>
          <a:endParaRPr lang="id-ID" sz="800">
            <a:solidFill>
              <a:sysClr val="windowText" lastClr="000000"/>
            </a:solidFill>
            <a:latin typeface="Arial Black" panose="020B0A04020102020204" pitchFamily="34" charset="0"/>
          </a:endParaRPr>
        </a:p>
      </dgm:t>
    </dgm:pt>
    <dgm:pt modelId="{8243E995-1FF9-442B-9714-B7972A1C4F36}" type="sibTrans" cxnId="{2610CA1F-5ADD-4959-BAC6-7B6D0DDB295D}">
      <dgm:prSet/>
      <dgm:spPr/>
      <dgm:t>
        <a:bodyPr/>
        <a:lstStyle/>
        <a:p>
          <a:endParaRPr lang="id-ID" sz="800">
            <a:solidFill>
              <a:sysClr val="windowText" lastClr="000000"/>
            </a:solidFill>
            <a:latin typeface="Arial Black" panose="020B0A04020102020204" pitchFamily="34" charset="0"/>
          </a:endParaRPr>
        </a:p>
      </dgm:t>
    </dgm:pt>
    <dgm:pt modelId="{38CC49EB-AE56-4C32-B280-3F28E1C4E3EF}">
      <dgm:prSet phldrT="[Text]" custT="1"/>
      <dgm:spPr>
        <a:blipFill rotWithShape="0">
          <a:blip xmlns:r="http://schemas.openxmlformats.org/officeDocument/2006/relationships" r:embed="rId1"/>
          <a:stretch>
            <a:fillRect/>
          </a:stretch>
        </a:blipFill>
      </dgm:spPr>
      <dgm:t>
        <a:bodyPr/>
        <a:lstStyle/>
        <a:p>
          <a:r>
            <a:rPr lang="en-US" sz="800">
              <a:solidFill>
                <a:sysClr val="windowText" lastClr="000000"/>
              </a:solidFill>
              <a:latin typeface="Arial Black" panose="020B0A04020102020204" pitchFamily="34" charset="0"/>
            </a:rPr>
            <a:t>Abnormal Return sesudah ada perubahan bea masuk dan pandemi covid-19</a:t>
          </a:r>
          <a:endParaRPr lang="id-ID" sz="800">
            <a:solidFill>
              <a:sysClr val="windowText" lastClr="000000"/>
            </a:solidFill>
            <a:latin typeface="Arial Black" panose="020B0A04020102020204" pitchFamily="34" charset="0"/>
          </a:endParaRPr>
        </a:p>
      </dgm:t>
    </dgm:pt>
    <dgm:pt modelId="{B900204B-C924-4128-86C3-C6F20791C7BF}" type="parTrans" cxnId="{88B540AC-170E-4918-979A-3129000EC417}">
      <dgm:prSet custT="1"/>
      <dgm:spPr/>
      <dgm:t>
        <a:bodyPr/>
        <a:lstStyle/>
        <a:p>
          <a:endParaRPr lang="id-ID" sz="800">
            <a:solidFill>
              <a:sysClr val="windowText" lastClr="000000"/>
            </a:solidFill>
            <a:latin typeface="Arial Black" panose="020B0A04020102020204" pitchFamily="34" charset="0"/>
          </a:endParaRPr>
        </a:p>
      </dgm:t>
    </dgm:pt>
    <dgm:pt modelId="{E35AA82B-3089-4EC5-952F-30EADC4D05D4}" type="sibTrans" cxnId="{88B540AC-170E-4918-979A-3129000EC417}">
      <dgm:prSet/>
      <dgm:spPr/>
      <dgm:t>
        <a:bodyPr/>
        <a:lstStyle/>
        <a:p>
          <a:endParaRPr lang="id-ID" sz="800">
            <a:solidFill>
              <a:sysClr val="windowText" lastClr="000000"/>
            </a:solidFill>
            <a:latin typeface="Arial Black" panose="020B0A04020102020204" pitchFamily="34" charset="0"/>
          </a:endParaRPr>
        </a:p>
      </dgm:t>
    </dgm:pt>
    <dgm:pt modelId="{D111725A-B657-4878-9782-B6F2C42156BD}">
      <dgm:prSet phldrT="[Text]" custT="1"/>
      <dgm:spPr/>
      <dgm:t>
        <a:bodyPr/>
        <a:lstStyle/>
        <a:p>
          <a:r>
            <a:rPr lang="en-US" sz="800">
              <a:solidFill>
                <a:sysClr val="windowText" lastClr="000000"/>
              </a:solidFill>
              <a:latin typeface="Arial Black" panose="020B0A04020102020204" pitchFamily="34" charset="0"/>
            </a:rPr>
            <a:t>Abnormal volume saham meningkat setelah ada bea masuk impor baru dan menurun saat pandemi covid-19</a:t>
          </a:r>
          <a:endParaRPr lang="id-ID" sz="800">
            <a:solidFill>
              <a:sysClr val="windowText" lastClr="000000"/>
            </a:solidFill>
            <a:latin typeface="Arial Black" panose="020B0A04020102020204" pitchFamily="34" charset="0"/>
          </a:endParaRPr>
        </a:p>
      </dgm:t>
    </dgm:pt>
    <dgm:pt modelId="{DD9CAD3E-288E-46E0-AD7A-99CA6F078EDF}" type="parTrans" cxnId="{D6E25431-B07C-4484-9238-93248478D466}">
      <dgm:prSet custT="1"/>
      <dgm:spPr/>
      <dgm:t>
        <a:bodyPr/>
        <a:lstStyle/>
        <a:p>
          <a:endParaRPr lang="id-ID" sz="800">
            <a:solidFill>
              <a:sysClr val="windowText" lastClr="000000"/>
            </a:solidFill>
            <a:latin typeface="Arial Black" panose="020B0A04020102020204" pitchFamily="34" charset="0"/>
          </a:endParaRPr>
        </a:p>
      </dgm:t>
    </dgm:pt>
    <dgm:pt modelId="{F0658230-BE34-4288-A985-E3702A35E80E}" type="sibTrans" cxnId="{D6E25431-B07C-4484-9238-93248478D466}">
      <dgm:prSet/>
      <dgm:spPr/>
      <dgm:t>
        <a:bodyPr/>
        <a:lstStyle/>
        <a:p>
          <a:endParaRPr lang="id-ID" sz="800">
            <a:solidFill>
              <a:sysClr val="windowText" lastClr="000000"/>
            </a:solidFill>
            <a:latin typeface="Arial Black" panose="020B0A04020102020204" pitchFamily="34" charset="0"/>
          </a:endParaRPr>
        </a:p>
      </dgm:t>
    </dgm:pt>
    <dgm:pt modelId="{24B74A59-FA92-4C6C-9958-A7B2872695DD}">
      <dgm:prSet custT="1"/>
      <dgm:spPr/>
      <dgm:t>
        <a:bodyPr/>
        <a:lstStyle/>
        <a:p>
          <a:r>
            <a:rPr lang="en-US" sz="800">
              <a:solidFill>
                <a:sysClr val="windowText" lastClr="000000"/>
              </a:solidFill>
              <a:latin typeface="Arial Black" panose="020B0A04020102020204" pitchFamily="34" charset="0"/>
            </a:rPr>
            <a:t>Abnormal Return sebelum ada perubahan bea masuk dan pandemi covid-19</a:t>
          </a:r>
          <a:endParaRPr lang="id-ID" sz="800">
            <a:solidFill>
              <a:sysClr val="windowText" lastClr="000000"/>
            </a:solidFill>
            <a:latin typeface="Arial Black" panose="020B0A04020102020204" pitchFamily="34" charset="0"/>
          </a:endParaRPr>
        </a:p>
      </dgm:t>
    </dgm:pt>
    <dgm:pt modelId="{B9DE0618-67A9-4B6C-A20F-209CB4A73E4D}" type="parTrans" cxnId="{6C58E973-3700-4004-9C70-4BF9E61FBC78}">
      <dgm:prSet custT="1"/>
      <dgm:spPr/>
      <dgm:t>
        <a:bodyPr/>
        <a:lstStyle/>
        <a:p>
          <a:endParaRPr lang="id-ID" sz="800">
            <a:solidFill>
              <a:sysClr val="windowText" lastClr="000000"/>
            </a:solidFill>
            <a:latin typeface="Arial Black" panose="020B0A04020102020204" pitchFamily="34" charset="0"/>
          </a:endParaRPr>
        </a:p>
      </dgm:t>
    </dgm:pt>
    <dgm:pt modelId="{A251D0D3-A54C-402D-A239-3DD43BDDD138}" type="sibTrans" cxnId="{6C58E973-3700-4004-9C70-4BF9E61FBC78}">
      <dgm:prSet/>
      <dgm:spPr/>
      <dgm:t>
        <a:bodyPr/>
        <a:lstStyle/>
        <a:p>
          <a:endParaRPr lang="id-ID" sz="800">
            <a:solidFill>
              <a:sysClr val="windowText" lastClr="000000"/>
            </a:solidFill>
            <a:latin typeface="Arial Black" panose="020B0A04020102020204" pitchFamily="34" charset="0"/>
          </a:endParaRPr>
        </a:p>
      </dgm:t>
    </dgm:pt>
    <dgm:pt modelId="{126C8230-1CBE-4EE8-8AD6-211388472E32}" type="pres">
      <dgm:prSet presAssocID="{BF3FD05A-2E01-48FF-B017-167BC4E1B204}" presName="Name0" presStyleCnt="0">
        <dgm:presLayoutVars>
          <dgm:chMax val="1"/>
          <dgm:dir/>
          <dgm:animLvl val="ctr"/>
          <dgm:resizeHandles val="exact"/>
        </dgm:presLayoutVars>
      </dgm:prSet>
      <dgm:spPr/>
      <dgm:t>
        <a:bodyPr/>
        <a:lstStyle/>
        <a:p>
          <a:endParaRPr lang="id-ID"/>
        </a:p>
      </dgm:t>
    </dgm:pt>
    <dgm:pt modelId="{A2809998-DCD0-4279-8C1B-1BE6038681D3}" type="pres">
      <dgm:prSet presAssocID="{1EC30885-28EE-4C24-8B4F-C28410B1C3CB}" presName="centerShape" presStyleLbl="node0" presStyleIdx="0" presStyleCnt="1" custScaleX="117902" custScaleY="110772" custLinFactNeighborX="1449" custLinFactNeighborY="1649"/>
      <dgm:spPr/>
      <dgm:t>
        <a:bodyPr/>
        <a:lstStyle/>
        <a:p>
          <a:endParaRPr lang="id-ID"/>
        </a:p>
      </dgm:t>
    </dgm:pt>
    <dgm:pt modelId="{26DFFE5C-2F16-4171-A2BC-80537224A3A9}" type="pres">
      <dgm:prSet presAssocID="{A58F5E31-DFFB-4E11-BAE6-157F87BFD37E}" presName="parTrans" presStyleLbl="sibTrans2D1" presStyleIdx="0" presStyleCnt="5"/>
      <dgm:spPr/>
      <dgm:t>
        <a:bodyPr/>
        <a:lstStyle/>
        <a:p>
          <a:endParaRPr lang="id-ID"/>
        </a:p>
      </dgm:t>
    </dgm:pt>
    <dgm:pt modelId="{AE3600E1-DCF8-467E-BCA6-A22BEE6E209B}" type="pres">
      <dgm:prSet presAssocID="{A58F5E31-DFFB-4E11-BAE6-157F87BFD37E}" presName="connectorText" presStyleLbl="sibTrans2D1" presStyleIdx="0" presStyleCnt="5"/>
      <dgm:spPr/>
      <dgm:t>
        <a:bodyPr/>
        <a:lstStyle/>
        <a:p>
          <a:endParaRPr lang="id-ID"/>
        </a:p>
      </dgm:t>
    </dgm:pt>
    <dgm:pt modelId="{22596A42-4BF6-4E8E-AE37-291E945C499C}" type="pres">
      <dgm:prSet presAssocID="{FA8140E4-2438-4FC5-A4B7-989DEB68DB46}" presName="node" presStyleLbl="node1" presStyleIdx="0" presStyleCnt="5" custScaleX="118950" custScaleY="113603" custRadScaleRad="94669" custRadScaleInc="-1550">
        <dgm:presLayoutVars>
          <dgm:bulletEnabled val="1"/>
        </dgm:presLayoutVars>
      </dgm:prSet>
      <dgm:spPr/>
      <dgm:t>
        <a:bodyPr/>
        <a:lstStyle/>
        <a:p>
          <a:endParaRPr lang="id-ID"/>
        </a:p>
      </dgm:t>
    </dgm:pt>
    <dgm:pt modelId="{6E45000F-B161-48E4-8D31-D5B9733CE4CA}" type="pres">
      <dgm:prSet presAssocID="{298E3E63-BC73-4961-B765-9D19AF379CFF}" presName="parTrans" presStyleLbl="sibTrans2D1" presStyleIdx="1" presStyleCnt="5"/>
      <dgm:spPr/>
      <dgm:t>
        <a:bodyPr/>
        <a:lstStyle/>
        <a:p>
          <a:endParaRPr lang="id-ID"/>
        </a:p>
      </dgm:t>
    </dgm:pt>
    <dgm:pt modelId="{737C68F3-7BEE-4A8E-952B-319ADAEDC291}" type="pres">
      <dgm:prSet presAssocID="{298E3E63-BC73-4961-B765-9D19AF379CFF}" presName="connectorText" presStyleLbl="sibTrans2D1" presStyleIdx="1" presStyleCnt="5"/>
      <dgm:spPr/>
      <dgm:t>
        <a:bodyPr/>
        <a:lstStyle/>
        <a:p>
          <a:endParaRPr lang="id-ID"/>
        </a:p>
      </dgm:t>
    </dgm:pt>
    <dgm:pt modelId="{D54915DD-704E-445B-B974-EF1B1BA1BDE3}" type="pres">
      <dgm:prSet presAssocID="{7A4C1EEC-AA47-4E04-AB78-7370C6A68775}" presName="node" presStyleLbl="node1" presStyleIdx="1" presStyleCnt="5" custScaleX="129913" custScaleY="113436" custRadScaleRad="139321" custRadScaleInc="48780">
        <dgm:presLayoutVars>
          <dgm:bulletEnabled val="1"/>
        </dgm:presLayoutVars>
      </dgm:prSet>
      <dgm:spPr/>
      <dgm:t>
        <a:bodyPr/>
        <a:lstStyle/>
        <a:p>
          <a:endParaRPr lang="id-ID"/>
        </a:p>
      </dgm:t>
    </dgm:pt>
    <dgm:pt modelId="{2D24C091-022B-44CB-AD35-A4A688FB143C}" type="pres">
      <dgm:prSet presAssocID="{B900204B-C924-4128-86C3-C6F20791C7BF}" presName="parTrans" presStyleLbl="sibTrans2D1" presStyleIdx="2" presStyleCnt="5"/>
      <dgm:spPr/>
      <dgm:t>
        <a:bodyPr/>
        <a:lstStyle/>
        <a:p>
          <a:endParaRPr lang="id-ID"/>
        </a:p>
      </dgm:t>
    </dgm:pt>
    <dgm:pt modelId="{0D376BE4-2989-47C0-A33C-F9E70FAB6B52}" type="pres">
      <dgm:prSet presAssocID="{B900204B-C924-4128-86C3-C6F20791C7BF}" presName="connectorText" presStyleLbl="sibTrans2D1" presStyleIdx="2" presStyleCnt="5"/>
      <dgm:spPr/>
      <dgm:t>
        <a:bodyPr/>
        <a:lstStyle/>
        <a:p>
          <a:endParaRPr lang="id-ID"/>
        </a:p>
      </dgm:t>
    </dgm:pt>
    <dgm:pt modelId="{39EF3C53-8CBE-4106-9F53-59ADE29795B7}" type="pres">
      <dgm:prSet presAssocID="{38CC49EB-AE56-4C32-B280-3F28E1C4E3EF}" presName="node" presStyleLbl="node1" presStyleIdx="2" presStyleCnt="5" custScaleX="102705" custScaleY="104026" custRadScaleRad="127868" custRadScaleInc="-46886">
        <dgm:presLayoutVars>
          <dgm:bulletEnabled val="1"/>
        </dgm:presLayoutVars>
      </dgm:prSet>
      <dgm:spPr/>
      <dgm:t>
        <a:bodyPr/>
        <a:lstStyle/>
        <a:p>
          <a:endParaRPr lang="id-ID"/>
        </a:p>
      </dgm:t>
    </dgm:pt>
    <dgm:pt modelId="{E2767FFB-51A0-4D80-AFE8-1387BB22D4DA}" type="pres">
      <dgm:prSet presAssocID="{B9DE0618-67A9-4B6C-A20F-209CB4A73E4D}" presName="parTrans" presStyleLbl="sibTrans2D1" presStyleIdx="3" presStyleCnt="5"/>
      <dgm:spPr/>
      <dgm:t>
        <a:bodyPr/>
        <a:lstStyle/>
        <a:p>
          <a:endParaRPr lang="id-ID"/>
        </a:p>
      </dgm:t>
    </dgm:pt>
    <dgm:pt modelId="{CC93317F-7668-4B1F-B610-6A521D993DDD}" type="pres">
      <dgm:prSet presAssocID="{B9DE0618-67A9-4B6C-A20F-209CB4A73E4D}" presName="connectorText" presStyleLbl="sibTrans2D1" presStyleIdx="3" presStyleCnt="5"/>
      <dgm:spPr/>
      <dgm:t>
        <a:bodyPr/>
        <a:lstStyle/>
        <a:p>
          <a:endParaRPr lang="id-ID"/>
        </a:p>
      </dgm:t>
    </dgm:pt>
    <dgm:pt modelId="{FE6246AD-43F5-494D-A027-1FB4CE8E0064}" type="pres">
      <dgm:prSet presAssocID="{24B74A59-FA92-4C6C-9958-A7B2872695DD}" presName="node" presStyleLbl="node1" presStyleIdx="3" presStyleCnt="5" custScaleX="105389" custScaleY="106617" custRadScaleRad="118205" custRadScaleInc="37825">
        <dgm:presLayoutVars>
          <dgm:bulletEnabled val="1"/>
        </dgm:presLayoutVars>
      </dgm:prSet>
      <dgm:spPr/>
      <dgm:t>
        <a:bodyPr/>
        <a:lstStyle/>
        <a:p>
          <a:endParaRPr lang="id-ID"/>
        </a:p>
      </dgm:t>
    </dgm:pt>
    <dgm:pt modelId="{D58B3D58-A579-4B5D-A3F2-4B2BC57871B5}" type="pres">
      <dgm:prSet presAssocID="{DD9CAD3E-288E-46E0-AD7A-99CA6F078EDF}" presName="parTrans" presStyleLbl="sibTrans2D1" presStyleIdx="4" presStyleCnt="5"/>
      <dgm:spPr/>
      <dgm:t>
        <a:bodyPr/>
        <a:lstStyle/>
        <a:p>
          <a:endParaRPr lang="id-ID"/>
        </a:p>
      </dgm:t>
    </dgm:pt>
    <dgm:pt modelId="{4257B8DD-CCB8-4F41-84D5-7BFBA98FF575}" type="pres">
      <dgm:prSet presAssocID="{DD9CAD3E-288E-46E0-AD7A-99CA6F078EDF}" presName="connectorText" presStyleLbl="sibTrans2D1" presStyleIdx="4" presStyleCnt="5"/>
      <dgm:spPr/>
      <dgm:t>
        <a:bodyPr/>
        <a:lstStyle/>
        <a:p>
          <a:endParaRPr lang="id-ID"/>
        </a:p>
      </dgm:t>
    </dgm:pt>
    <dgm:pt modelId="{FD6E10B8-25BE-49BE-B66F-24CA3D55F1B1}" type="pres">
      <dgm:prSet presAssocID="{D111725A-B657-4878-9782-B6F2C42156BD}" presName="node" presStyleLbl="node1" presStyleIdx="4" presStyleCnt="5" custScaleX="132454" custScaleY="117434" custRadScaleRad="142507" custRadScaleInc="-49572">
        <dgm:presLayoutVars>
          <dgm:bulletEnabled val="1"/>
        </dgm:presLayoutVars>
      </dgm:prSet>
      <dgm:spPr/>
      <dgm:t>
        <a:bodyPr/>
        <a:lstStyle/>
        <a:p>
          <a:endParaRPr lang="id-ID"/>
        </a:p>
      </dgm:t>
    </dgm:pt>
  </dgm:ptLst>
  <dgm:cxnLst>
    <dgm:cxn modelId="{DCA09600-86FE-4E20-8A64-1D925F0C9DBB}" type="presOf" srcId="{A58F5E31-DFFB-4E11-BAE6-157F87BFD37E}" destId="{26DFFE5C-2F16-4171-A2BC-80537224A3A9}" srcOrd="0" destOrd="0" presId="urn:microsoft.com/office/officeart/2005/8/layout/radial5"/>
    <dgm:cxn modelId="{2017C54E-EBE8-40CD-A820-2CB8833B3DA6}" type="presOf" srcId="{298E3E63-BC73-4961-B765-9D19AF379CFF}" destId="{737C68F3-7BEE-4A8E-952B-319ADAEDC291}" srcOrd="1" destOrd="0" presId="urn:microsoft.com/office/officeart/2005/8/layout/radial5"/>
    <dgm:cxn modelId="{2610CA1F-5ADD-4959-BAC6-7B6D0DDB295D}" srcId="{1EC30885-28EE-4C24-8B4F-C28410B1C3CB}" destId="{7A4C1EEC-AA47-4E04-AB78-7370C6A68775}" srcOrd="1" destOrd="0" parTransId="{298E3E63-BC73-4961-B765-9D19AF379CFF}" sibTransId="{8243E995-1FF9-442B-9714-B7972A1C4F36}"/>
    <dgm:cxn modelId="{DB079143-8965-4BFC-81EC-4F3AAF09AD99}" type="presOf" srcId="{298E3E63-BC73-4961-B765-9D19AF379CFF}" destId="{6E45000F-B161-48E4-8D31-D5B9733CE4CA}" srcOrd="0" destOrd="0" presId="urn:microsoft.com/office/officeart/2005/8/layout/radial5"/>
    <dgm:cxn modelId="{9F12206B-FF18-40EB-8EF5-8EE5225B8EA1}" type="presOf" srcId="{D111725A-B657-4878-9782-B6F2C42156BD}" destId="{FD6E10B8-25BE-49BE-B66F-24CA3D55F1B1}" srcOrd="0" destOrd="0" presId="urn:microsoft.com/office/officeart/2005/8/layout/radial5"/>
    <dgm:cxn modelId="{2A86B105-DE52-4C82-A50F-67D522D69BAE}" type="presOf" srcId="{FA8140E4-2438-4FC5-A4B7-989DEB68DB46}" destId="{22596A42-4BF6-4E8E-AE37-291E945C499C}" srcOrd="0" destOrd="0" presId="urn:microsoft.com/office/officeart/2005/8/layout/radial5"/>
    <dgm:cxn modelId="{5F7CB1ED-042E-4D4A-9047-1CAD2401666A}" type="presOf" srcId="{DD9CAD3E-288E-46E0-AD7A-99CA6F078EDF}" destId="{D58B3D58-A579-4B5D-A3F2-4B2BC57871B5}" srcOrd="0" destOrd="0" presId="urn:microsoft.com/office/officeart/2005/8/layout/radial5"/>
    <dgm:cxn modelId="{862ADB14-6AB1-480E-A0DE-81D91908193C}" type="presOf" srcId="{24B74A59-FA92-4C6C-9958-A7B2872695DD}" destId="{FE6246AD-43F5-494D-A027-1FB4CE8E0064}" srcOrd="0" destOrd="0" presId="urn:microsoft.com/office/officeart/2005/8/layout/radial5"/>
    <dgm:cxn modelId="{21581D23-EC0A-4215-A704-8356D07006FB}" type="presOf" srcId="{38CC49EB-AE56-4C32-B280-3F28E1C4E3EF}" destId="{39EF3C53-8CBE-4106-9F53-59ADE29795B7}" srcOrd="0" destOrd="0" presId="urn:microsoft.com/office/officeart/2005/8/layout/radial5"/>
    <dgm:cxn modelId="{88B540AC-170E-4918-979A-3129000EC417}" srcId="{1EC30885-28EE-4C24-8B4F-C28410B1C3CB}" destId="{38CC49EB-AE56-4C32-B280-3F28E1C4E3EF}" srcOrd="2" destOrd="0" parTransId="{B900204B-C924-4128-86C3-C6F20791C7BF}" sibTransId="{E35AA82B-3089-4EC5-952F-30EADC4D05D4}"/>
    <dgm:cxn modelId="{CE7D83D9-35FA-45B8-96A6-9CF0D384A4A5}" type="presOf" srcId="{DD9CAD3E-288E-46E0-AD7A-99CA6F078EDF}" destId="{4257B8DD-CCB8-4F41-84D5-7BFBA98FF575}" srcOrd="1" destOrd="0" presId="urn:microsoft.com/office/officeart/2005/8/layout/radial5"/>
    <dgm:cxn modelId="{08FF86F3-B79B-4561-8AEE-AC7C31B82B7D}" type="presOf" srcId="{7A4C1EEC-AA47-4E04-AB78-7370C6A68775}" destId="{D54915DD-704E-445B-B974-EF1B1BA1BDE3}" srcOrd="0" destOrd="0" presId="urn:microsoft.com/office/officeart/2005/8/layout/radial5"/>
    <dgm:cxn modelId="{D6E25431-B07C-4484-9238-93248478D466}" srcId="{1EC30885-28EE-4C24-8B4F-C28410B1C3CB}" destId="{D111725A-B657-4878-9782-B6F2C42156BD}" srcOrd="4" destOrd="0" parTransId="{DD9CAD3E-288E-46E0-AD7A-99CA6F078EDF}" sibTransId="{F0658230-BE34-4288-A985-E3702A35E80E}"/>
    <dgm:cxn modelId="{6C58E973-3700-4004-9C70-4BF9E61FBC78}" srcId="{1EC30885-28EE-4C24-8B4F-C28410B1C3CB}" destId="{24B74A59-FA92-4C6C-9958-A7B2872695DD}" srcOrd="3" destOrd="0" parTransId="{B9DE0618-67A9-4B6C-A20F-209CB4A73E4D}" sibTransId="{A251D0D3-A54C-402D-A239-3DD43BDDD138}"/>
    <dgm:cxn modelId="{C09D793E-8E3B-4E38-8FE7-083913541B45}" type="presOf" srcId="{B9DE0618-67A9-4B6C-A20F-209CB4A73E4D}" destId="{E2767FFB-51A0-4D80-AFE8-1387BB22D4DA}" srcOrd="0" destOrd="0" presId="urn:microsoft.com/office/officeart/2005/8/layout/radial5"/>
    <dgm:cxn modelId="{2E834776-253B-4F13-B0D5-6DE84A9B2D7A}" type="presOf" srcId="{B9DE0618-67A9-4B6C-A20F-209CB4A73E4D}" destId="{CC93317F-7668-4B1F-B610-6A521D993DDD}" srcOrd="1" destOrd="0" presId="urn:microsoft.com/office/officeart/2005/8/layout/radial5"/>
    <dgm:cxn modelId="{F90506D3-F3AD-45CA-91FD-A0F11E0CDFD2}" type="presOf" srcId="{1EC30885-28EE-4C24-8B4F-C28410B1C3CB}" destId="{A2809998-DCD0-4279-8C1B-1BE6038681D3}" srcOrd="0" destOrd="0" presId="urn:microsoft.com/office/officeart/2005/8/layout/radial5"/>
    <dgm:cxn modelId="{3033B876-215B-4702-9F86-BB1E9DA2548B}" type="presOf" srcId="{BF3FD05A-2E01-48FF-B017-167BC4E1B204}" destId="{126C8230-1CBE-4EE8-8AD6-211388472E32}" srcOrd="0" destOrd="0" presId="urn:microsoft.com/office/officeart/2005/8/layout/radial5"/>
    <dgm:cxn modelId="{612EDA22-DA9C-424C-AB9D-D0342CC9EEF0}" type="presOf" srcId="{B900204B-C924-4128-86C3-C6F20791C7BF}" destId="{2D24C091-022B-44CB-AD35-A4A688FB143C}" srcOrd="0" destOrd="0" presId="urn:microsoft.com/office/officeart/2005/8/layout/radial5"/>
    <dgm:cxn modelId="{3BCF54DD-6C14-4B51-A383-A67BCFCCB396}" srcId="{1EC30885-28EE-4C24-8B4F-C28410B1C3CB}" destId="{FA8140E4-2438-4FC5-A4B7-989DEB68DB46}" srcOrd="0" destOrd="0" parTransId="{A58F5E31-DFFB-4E11-BAE6-157F87BFD37E}" sibTransId="{076E297C-AEB2-4919-BDA5-8638F47AD533}"/>
    <dgm:cxn modelId="{9FDB547C-DBCE-49B4-8E23-E35E628282C0}" srcId="{BF3FD05A-2E01-48FF-B017-167BC4E1B204}" destId="{1EC30885-28EE-4C24-8B4F-C28410B1C3CB}" srcOrd="0" destOrd="0" parTransId="{7A2E07B7-7CF4-4D1C-B376-DCBE88EB95F3}" sibTransId="{76D2412C-B308-4CDD-A4D2-F6BFD51C134B}"/>
    <dgm:cxn modelId="{D52FE9B2-7259-47FF-A1E7-7C5C57783EC6}" type="presOf" srcId="{A58F5E31-DFFB-4E11-BAE6-157F87BFD37E}" destId="{AE3600E1-DCF8-467E-BCA6-A22BEE6E209B}" srcOrd="1" destOrd="0" presId="urn:microsoft.com/office/officeart/2005/8/layout/radial5"/>
    <dgm:cxn modelId="{95BE0EB1-333F-4461-8E16-3254773C0D76}" type="presOf" srcId="{B900204B-C924-4128-86C3-C6F20791C7BF}" destId="{0D376BE4-2989-47C0-A33C-F9E70FAB6B52}" srcOrd="1" destOrd="0" presId="urn:microsoft.com/office/officeart/2005/8/layout/radial5"/>
    <dgm:cxn modelId="{22C5B79F-94F4-4AF2-855F-76D05B790FF9}" type="presParOf" srcId="{126C8230-1CBE-4EE8-8AD6-211388472E32}" destId="{A2809998-DCD0-4279-8C1B-1BE6038681D3}" srcOrd="0" destOrd="0" presId="urn:microsoft.com/office/officeart/2005/8/layout/radial5"/>
    <dgm:cxn modelId="{CB135044-1C48-471F-B263-4A176FB3857E}" type="presParOf" srcId="{126C8230-1CBE-4EE8-8AD6-211388472E32}" destId="{26DFFE5C-2F16-4171-A2BC-80537224A3A9}" srcOrd="1" destOrd="0" presId="urn:microsoft.com/office/officeart/2005/8/layout/radial5"/>
    <dgm:cxn modelId="{81A2B518-5A9C-4B92-85A0-78C6A9D38ACE}" type="presParOf" srcId="{26DFFE5C-2F16-4171-A2BC-80537224A3A9}" destId="{AE3600E1-DCF8-467E-BCA6-A22BEE6E209B}" srcOrd="0" destOrd="0" presId="urn:microsoft.com/office/officeart/2005/8/layout/radial5"/>
    <dgm:cxn modelId="{D6CE4276-DF50-4A4E-9F10-79E528E67DA7}" type="presParOf" srcId="{126C8230-1CBE-4EE8-8AD6-211388472E32}" destId="{22596A42-4BF6-4E8E-AE37-291E945C499C}" srcOrd="2" destOrd="0" presId="urn:microsoft.com/office/officeart/2005/8/layout/radial5"/>
    <dgm:cxn modelId="{8B6C686D-6F4E-47F9-85CB-1CECE3FD8F65}" type="presParOf" srcId="{126C8230-1CBE-4EE8-8AD6-211388472E32}" destId="{6E45000F-B161-48E4-8D31-D5B9733CE4CA}" srcOrd="3" destOrd="0" presId="urn:microsoft.com/office/officeart/2005/8/layout/radial5"/>
    <dgm:cxn modelId="{D2D4C051-67E0-43B2-B0B1-0FC5475DE86F}" type="presParOf" srcId="{6E45000F-B161-48E4-8D31-D5B9733CE4CA}" destId="{737C68F3-7BEE-4A8E-952B-319ADAEDC291}" srcOrd="0" destOrd="0" presId="urn:microsoft.com/office/officeart/2005/8/layout/radial5"/>
    <dgm:cxn modelId="{A14F50E2-87B8-4824-B687-B0AD13B0CF9A}" type="presParOf" srcId="{126C8230-1CBE-4EE8-8AD6-211388472E32}" destId="{D54915DD-704E-445B-B974-EF1B1BA1BDE3}" srcOrd="4" destOrd="0" presId="urn:microsoft.com/office/officeart/2005/8/layout/radial5"/>
    <dgm:cxn modelId="{77920394-6A49-41F5-9E32-A2D1183AE021}" type="presParOf" srcId="{126C8230-1CBE-4EE8-8AD6-211388472E32}" destId="{2D24C091-022B-44CB-AD35-A4A688FB143C}" srcOrd="5" destOrd="0" presId="urn:microsoft.com/office/officeart/2005/8/layout/radial5"/>
    <dgm:cxn modelId="{4E5F17CC-C8E9-4352-BDA4-AA62A06EE0F8}" type="presParOf" srcId="{2D24C091-022B-44CB-AD35-A4A688FB143C}" destId="{0D376BE4-2989-47C0-A33C-F9E70FAB6B52}" srcOrd="0" destOrd="0" presId="urn:microsoft.com/office/officeart/2005/8/layout/radial5"/>
    <dgm:cxn modelId="{21E0ADA9-409B-4EF1-A42A-BA8C79487A61}" type="presParOf" srcId="{126C8230-1CBE-4EE8-8AD6-211388472E32}" destId="{39EF3C53-8CBE-4106-9F53-59ADE29795B7}" srcOrd="6" destOrd="0" presId="urn:microsoft.com/office/officeart/2005/8/layout/radial5"/>
    <dgm:cxn modelId="{5C5B9E3F-F2CB-4352-9423-5D09FA3B1646}" type="presParOf" srcId="{126C8230-1CBE-4EE8-8AD6-211388472E32}" destId="{E2767FFB-51A0-4D80-AFE8-1387BB22D4DA}" srcOrd="7" destOrd="0" presId="urn:microsoft.com/office/officeart/2005/8/layout/radial5"/>
    <dgm:cxn modelId="{4C01876E-2B09-4350-8C9C-38EF76C340E8}" type="presParOf" srcId="{E2767FFB-51A0-4D80-AFE8-1387BB22D4DA}" destId="{CC93317F-7668-4B1F-B610-6A521D993DDD}" srcOrd="0" destOrd="0" presId="urn:microsoft.com/office/officeart/2005/8/layout/radial5"/>
    <dgm:cxn modelId="{8D83F9F6-B60A-40D7-86C4-5CA3B96D819A}" type="presParOf" srcId="{126C8230-1CBE-4EE8-8AD6-211388472E32}" destId="{FE6246AD-43F5-494D-A027-1FB4CE8E0064}" srcOrd="8" destOrd="0" presId="urn:microsoft.com/office/officeart/2005/8/layout/radial5"/>
    <dgm:cxn modelId="{0A2FF3CE-AF1A-4BA4-A96F-37A8BBBCDC50}" type="presParOf" srcId="{126C8230-1CBE-4EE8-8AD6-211388472E32}" destId="{D58B3D58-A579-4B5D-A3F2-4B2BC57871B5}" srcOrd="9" destOrd="0" presId="urn:microsoft.com/office/officeart/2005/8/layout/radial5"/>
    <dgm:cxn modelId="{A884C190-6662-4416-9553-79B5485AB6AB}" type="presParOf" srcId="{D58B3D58-A579-4B5D-A3F2-4B2BC57871B5}" destId="{4257B8DD-CCB8-4F41-84D5-7BFBA98FF575}" srcOrd="0" destOrd="0" presId="urn:microsoft.com/office/officeart/2005/8/layout/radial5"/>
    <dgm:cxn modelId="{26674745-2D75-41E6-B913-651A055168D6}" type="presParOf" srcId="{126C8230-1CBE-4EE8-8AD6-211388472E32}" destId="{FD6E10B8-25BE-49BE-B66F-24CA3D55F1B1}" srcOrd="10"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809998-DCD0-4279-8C1B-1BE6038681D3}">
      <dsp:nvSpPr>
        <dsp:cNvPr id="0" name=""/>
        <dsp:cNvSpPr/>
      </dsp:nvSpPr>
      <dsp:spPr>
        <a:xfrm>
          <a:off x="2465545" y="1655081"/>
          <a:ext cx="1097049" cy="103070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Black" panose="020B0A04020102020204" pitchFamily="34" charset="0"/>
            </a:rPr>
            <a:t>Terdapat informasi perubahan bea masuk dan pandemi covid-19</a:t>
          </a:r>
          <a:endParaRPr lang="id-ID" sz="800" kern="1200">
            <a:solidFill>
              <a:sysClr val="windowText" lastClr="000000"/>
            </a:solidFill>
            <a:latin typeface="Arial Black" panose="020B0A04020102020204" pitchFamily="34" charset="0"/>
          </a:endParaRPr>
        </a:p>
      </dsp:txBody>
      <dsp:txXfrm>
        <a:off x="2626204" y="1806025"/>
        <a:ext cx="775731" cy="728819"/>
      </dsp:txXfrm>
    </dsp:sp>
    <dsp:sp modelId="{26DFFE5C-2F16-4171-A2BC-80537224A3A9}">
      <dsp:nvSpPr>
        <dsp:cNvPr id="0" name=""/>
        <dsp:cNvSpPr/>
      </dsp:nvSpPr>
      <dsp:spPr>
        <a:xfrm rot="16066016">
          <a:off x="2888175" y="1287182"/>
          <a:ext cx="197538" cy="375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solidFill>
              <a:sysClr val="windowText" lastClr="000000"/>
            </a:solidFill>
            <a:latin typeface="Arial Black" panose="020B0A04020102020204" pitchFamily="34" charset="0"/>
          </a:endParaRPr>
        </a:p>
      </dsp:txBody>
      <dsp:txXfrm rot="10800000">
        <a:off x="2918960" y="1391836"/>
        <a:ext cx="138277" cy="225139"/>
      </dsp:txXfrm>
    </dsp:sp>
    <dsp:sp modelId="{22596A42-4BF6-4E8E-AE37-291E945C499C}">
      <dsp:nvSpPr>
        <dsp:cNvPr id="0" name=""/>
        <dsp:cNvSpPr/>
      </dsp:nvSpPr>
      <dsp:spPr>
        <a:xfrm>
          <a:off x="2298659" y="29683"/>
          <a:ext cx="1312757" cy="125374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Black" panose="020B0A04020102020204" pitchFamily="34" charset="0"/>
            </a:rPr>
            <a:t>Volatilitas harga saham meningkat setelah ada kenaikan bea masuk, turun saat pandemi covid-19 </a:t>
          </a:r>
          <a:endParaRPr lang="id-ID" sz="800" kern="1200">
            <a:solidFill>
              <a:sysClr val="windowText" lastClr="000000"/>
            </a:solidFill>
            <a:latin typeface="Arial Black" panose="020B0A04020102020204" pitchFamily="34" charset="0"/>
          </a:endParaRPr>
        </a:p>
      </dsp:txBody>
      <dsp:txXfrm>
        <a:off x="2490908" y="213290"/>
        <a:ext cx="928259" cy="886532"/>
      </dsp:txXfrm>
    </dsp:sp>
    <dsp:sp modelId="{6E45000F-B161-48E4-8D31-D5B9733CE4CA}">
      <dsp:nvSpPr>
        <dsp:cNvPr id="0" name=""/>
        <dsp:cNvSpPr/>
      </dsp:nvSpPr>
      <dsp:spPr>
        <a:xfrm rot="21490016">
          <a:off x="3747748" y="1952180"/>
          <a:ext cx="447320" cy="375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solidFill>
              <a:sysClr val="windowText" lastClr="000000"/>
            </a:solidFill>
            <a:latin typeface="Arial Black" panose="020B0A04020102020204" pitchFamily="34" charset="0"/>
          </a:endParaRPr>
        </a:p>
      </dsp:txBody>
      <dsp:txXfrm>
        <a:off x="3747777" y="2029026"/>
        <a:ext cx="334751" cy="225139"/>
      </dsp:txXfrm>
    </dsp:sp>
    <dsp:sp modelId="{D54915DD-704E-445B-B974-EF1B1BA1BDE3}">
      <dsp:nvSpPr>
        <dsp:cNvPr id="0" name=""/>
        <dsp:cNvSpPr/>
      </dsp:nvSpPr>
      <dsp:spPr>
        <a:xfrm>
          <a:off x="4405366" y="1477013"/>
          <a:ext cx="1433747" cy="125190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Black" panose="020B0A04020102020204" pitchFamily="34" charset="0"/>
            </a:rPr>
            <a:t>Bid-Ask spread saham meningkat saat ada tambahan bea masuk baru dan turun ketika pandemi covid-19</a:t>
          </a:r>
          <a:endParaRPr lang="id-ID" sz="800" kern="1200">
            <a:solidFill>
              <a:sysClr val="windowText" lastClr="000000"/>
            </a:solidFill>
            <a:latin typeface="Arial Black" panose="020B0A04020102020204" pitchFamily="34" charset="0"/>
          </a:endParaRPr>
        </a:p>
      </dsp:txBody>
      <dsp:txXfrm>
        <a:off x="4615333" y="1660350"/>
        <a:ext cx="1013813" cy="885229"/>
      </dsp:txXfrm>
    </dsp:sp>
    <dsp:sp modelId="{2D24C091-022B-44CB-AD35-A4A688FB143C}">
      <dsp:nvSpPr>
        <dsp:cNvPr id="0" name=""/>
        <dsp:cNvSpPr/>
      </dsp:nvSpPr>
      <dsp:spPr>
        <a:xfrm rot="2202759">
          <a:off x="3543285" y="2536418"/>
          <a:ext cx="426305" cy="375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solidFill>
              <a:sysClr val="windowText" lastClr="000000"/>
            </a:solidFill>
            <a:latin typeface="Arial Black" panose="020B0A04020102020204" pitchFamily="34" charset="0"/>
          </a:endParaRPr>
        </a:p>
      </dsp:txBody>
      <dsp:txXfrm>
        <a:off x="3554449" y="2577817"/>
        <a:ext cx="313736" cy="225139"/>
      </dsp:txXfrm>
    </dsp:sp>
    <dsp:sp modelId="{39EF3C53-8CBE-4106-9F53-59ADE29795B7}">
      <dsp:nvSpPr>
        <dsp:cNvPr id="0" name=""/>
        <dsp:cNvSpPr/>
      </dsp:nvSpPr>
      <dsp:spPr>
        <a:xfrm>
          <a:off x="3978158" y="2737976"/>
          <a:ext cx="1133473" cy="1148052"/>
        </a:xfrm>
        <a:prstGeom prst="ellipse">
          <a:avLst/>
        </a:prstGeom>
        <a:blipFill rotWithShape="0">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Black" panose="020B0A04020102020204" pitchFamily="34" charset="0"/>
            </a:rPr>
            <a:t>Abnormal Return sesudah ada perubahan bea masuk dan pandemi covid-19</a:t>
          </a:r>
          <a:endParaRPr lang="id-ID" sz="800" kern="1200">
            <a:solidFill>
              <a:sysClr val="windowText" lastClr="000000"/>
            </a:solidFill>
            <a:latin typeface="Arial Black" panose="020B0A04020102020204" pitchFamily="34" charset="0"/>
          </a:endParaRPr>
        </a:p>
      </dsp:txBody>
      <dsp:txXfrm>
        <a:off x="4144151" y="2906104"/>
        <a:ext cx="801487" cy="811796"/>
      </dsp:txXfrm>
    </dsp:sp>
    <dsp:sp modelId="{E2767FFB-51A0-4D80-AFE8-1387BB22D4DA}">
      <dsp:nvSpPr>
        <dsp:cNvPr id="0" name=""/>
        <dsp:cNvSpPr/>
      </dsp:nvSpPr>
      <dsp:spPr>
        <a:xfrm rot="8504553">
          <a:off x="2135457" y="2527309"/>
          <a:ext cx="376229" cy="375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solidFill>
              <a:sysClr val="windowText" lastClr="000000"/>
            </a:solidFill>
            <a:latin typeface="Arial Black" panose="020B0A04020102020204" pitchFamily="34" charset="0"/>
          </a:endParaRPr>
        </a:p>
      </dsp:txBody>
      <dsp:txXfrm rot="10800000">
        <a:off x="2235938" y="2567504"/>
        <a:ext cx="263660" cy="225139"/>
      </dsp:txXfrm>
    </dsp:sp>
    <dsp:sp modelId="{FE6246AD-43F5-494D-A027-1FB4CE8E0064}">
      <dsp:nvSpPr>
        <dsp:cNvPr id="0" name=""/>
        <dsp:cNvSpPr/>
      </dsp:nvSpPr>
      <dsp:spPr>
        <a:xfrm>
          <a:off x="996286" y="2714651"/>
          <a:ext cx="1163095" cy="117664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Black" panose="020B0A04020102020204" pitchFamily="34" charset="0"/>
            </a:rPr>
            <a:t>Abnormal Return sebelum ada perubahan bea masuk dan pandemi covid-19</a:t>
          </a:r>
          <a:endParaRPr lang="id-ID" sz="800" kern="1200">
            <a:solidFill>
              <a:sysClr val="windowText" lastClr="000000"/>
            </a:solidFill>
            <a:latin typeface="Arial Black" panose="020B0A04020102020204" pitchFamily="34" charset="0"/>
          </a:endParaRPr>
        </a:p>
      </dsp:txBody>
      <dsp:txXfrm>
        <a:off x="1166617" y="2886967"/>
        <a:ext cx="822433" cy="832015"/>
      </dsp:txXfrm>
    </dsp:sp>
    <dsp:sp modelId="{D58B3D58-A579-4B5D-A3F2-4B2BC57871B5}">
      <dsp:nvSpPr>
        <dsp:cNvPr id="0" name=""/>
        <dsp:cNvSpPr/>
      </dsp:nvSpPr>
      <dsp:spPr>
        <a:xfrm rot="10887015">
          <a:off x="1739582" y="1957050"/>
          <a:ext cx="513260" cy="375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id-ID" sz="800" kern="1200">
            <a:solidFill>
              <a:sysClr val="windowText" lastClr="000000"/>
            </a:solidFill>
            <a:latin typeface="Arial Black" panose="020B0A04020102020204" pitchFamily="34" charset="0"/>
          </a:endParaRPr>
        </a:p>
      </dsp:txBody>
      <dsp:txXfrm rot="10800000">
        <a:off x="1852133" y="2033521"/>
        <a:ext cx="400691" cy="225139"/>
      </dsp:txXfrm>
    </dsp:sp>
    <dsp:sp modelId="{FD6E10B8-25BE-49BE-B66F-24CA3D55F1B1}">
      <dsp:nvSpPr>
        <dsp:cNvPr id="0" name=""/>
        <dsp:cNvSpPr/>
      </dsp:nvSpPr>
      <dsp:spPr>
        <a:xfrm>
          <a:off x="36146" y="1465533"/>
          <a:ext cx="1461790" cy="129602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solidFill>
                <a:sysClr val="windowText" lastClr="000000"/>
              </a:solidFill>
              <a:latin typeface="Arial Black" panose="020B0A04020102020204" pitchFamily="34" charset="0"/>
            </a:rPr>
            <a:t>Abnormal volume saham meningkat setelah ada bea masuk impor baru dan menurun saat pandemi covid-19</a:t>
          </a:r>
          <a:endParaRPr lang="id-ID" sz="800" kern="1200">
            <a:solidFill>
              <a:sysClr val="windowText" lastClr="000000"/>
            </a:solidFill>
            <a:latin typeface="Arial Black" panose="020B0A04020102020204" pitchFamily="34" charset="0"/>
          </a:endParaRPr>
        </a:p>
      </dsp:txBody>
      <dsp:txXfrm>
        <a:off x="250220" y="1655332"/>
        <a:ext cx="1033642" cy="916428"/>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1322</TotalTime>
  <Pages>41</Pages>
  <Words>13051</Words>
  <Characters>74396</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dcterms:created xsi:type="dcterms:W3CDTF">2020-10-18T05:10:00Z</dcterms:created>
  <dcterms:modified xsi:type="dcterms:W3CDTF">2020-11-17T06:00:00Z</dcterms:modified>
</cp:coreProperties>
</file>